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7B" w:rsidRPr="00723CEF" w:rsidRDefault="00B43833" w:rsidP="0074667B">
      <w:pPr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hadow w:val="0"/>
          <w:color w:val="000000" w:themeColor="text1"/>
          <w:sz w:val="28"/>
          <w:szCs w:val="28"/>
        </w:rPr>
        <w:t>Эмиров Махмуд Магмоедрасулович</w:t>
      </w:r>
      <w:bookmarkStart w:id="0" w:name="_GoBack"/>
      <w:bookmarkEnd w:id="0"/>
    </w:p>
    <w:p w:rsidR="00723CEF" w:rsidRPr="00723CEF" w:rsidRDefault="00B43833" w:rsidP="00723CEF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бакалавр 4</w:t>
      </w:r>
      <w:r w:rsidR="00723CEF"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 xml:space="preserve"> курса </w:t>
      </w:r>
      <w:proofErr w:type="spellStart"/>
      <w:proofErr w:type="gramStart"/>
      <w:r w:rsidR="00723CEF"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обучения,ФиК</w:t>
      </w:r>
      <w:proofErr w:type="spellEnd"/>
      <w:proofErr w:type="gramEnd"/>
    </w:p>
    <w:p w:rsidR="00723CEF" w:rsidRPr="00723CEF" w:rsidRDefault="00723CEF" w:rsidP="00723CEF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  <w:r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Дагестанский государственный университет,</w:t>
      </w:r>
    </w:p>
    <w:p w:rsidR="00723CEF" w:rsidRPr="00723CEF" w:rsidRDefault="00723CEF" w:rsidP="00723CEF">
      <w:pPr>
        <w:shd w:val="clear" w:color="auto" w:fill="FFFFFF" w:themeFill="background1"/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  <w:r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РФ, г. Махачкала</w:t>
      </w:r>
    </w:p>
    <w:p w:rsidR="00723CEF" w:rsidRPr="00723CEF" w:rsidRDefault="00723CEF" w:rsidP="00723CEF">
      <w:pPr>
        <w:shd w:val="clear" w:color="auto" w:fill="FFFFFF" w:themeFill="background1"/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723CEF" w:rsidRDefault="00723CEF" w:rsidP="00723CEF">
      <w:pPr>
        <w:shd w:val="clear" w:color="auto" w:fill="FFFFFF" w:themeFill="background1"/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  <w:proofErr w:type="spellStart"/>
      <w:r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Рабаданова</w:t>
      </w:r>
      <w:proofErr w:type="spellEnd"/>
      <w:r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 xml:space="preserve"> Д.А.</w:t>
      </w:r>
    </w:p>
    <w:p w:rsidR="00723CEF" w:rsidRPr="00723CEF" w:rsidRDefault="00723CEF" w:rsidP="00723CEF">
      <w:pPr>
        <w:shd w:val="clear" w:color="auto" w:fill="FFFFFF" w:themeFill="background1"/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  <w:r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 xml:space="preserve"> доцент кафедры «</w:t>
      </w:r>
      <w:r w:rsidRPr="00723CEF">
        <w:rPr>
          <w:rFonts w:ascii="Times New Roman" w:hAnsi="Times New Roman" w:cs="Times New Roman"/>
          <w:shadow w:val="0"/>
          <w:color w:val="000000" w:themeColor="text1"/>
          <w:sz w:val="28"/>
          <w:szCs w:val="28"/>
          <w:shd w:val="clear" w:color="auto" w:fill="FFFFFF"/>
        </w:rPr>
        <w:t>Финансы и страхование</w:t>
      </w:r>
      <w:r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»</w:t>
      </w:r>
    </w:p>
    <w:p w:rsidR="00723CEF" w:rsidRPr="00723CEF" w:rsidRDefault="00723CEF" w:rsidP="00723CEF">
      <w:pPr>
        <w:shd w:val="clear" w:color="auto" w:fill="FFFFFF" w:themeFill="background1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  <w:r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Дагестанский государственный университет,</w:t>
      </w:r>
    </w:p>
    <w:p w:rsidR="00723CEF" w:rsidRDefault="00723CEF" w:rsidP="00723CEF">
      <w:pPr>
        <w:shd w:val="clear" w:color="auto" w:fill="FFFFFF" w:themeFill="background1"/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  <w:r w:rsidRP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РФ, г. Махачкала</w:t>
      </w:r>
    </w:p>
    <w:p w:rsidR="00723CEF" w:rsidRPr="00723CEF" w:rsidRDefault="00723CEF" w:rsidP="00723CEF">
      <w:pPr>
        <w:shd w:val="clear" w:color="auto" w:fill="FFFFFF" w:themeFill="background1"/>
        <w:ind w:firstLine="709"/>
        <w:jc w:val="right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74667B" w:rsidRPr="00CA3399" w:rsidRDefault="0074667B" w:rsidP="0074667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3CEF" w:rsidRPr="0074667B" w:rsidRDefault="00723CEF" w:rsidP="00723C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4667B">
        <w:rPr>
          <w:b/>
          <w:bCs/>
          <w:color w:val="000000" w:themeColor="text1"/>
          <w:sz w:val="28"/>
          <w:szCs w:val="28"/>
        </w:rPr>
        <w:t>ФОНД НАЦИОНАЛЬНОГО БЛАГОСОСТОЯНИЯ РОССИИ</w:t>
      </w:r>
    </w:p>
    <w:p w:rsidR="0074667B" w:rsidRPr="0074667B" w:rsidRDefault="0074667B" w:rsidP="0074667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667B">
        <w:rPr>
          <w:sz w:val="28"/>
          <w:szCs w:val="28"/>
        </w:rPr>
        <w:t xml:space="preserve">Аннотация: </w:t>
      </w:r>
      <w:r w:rsidRPr="0074667B">
        <w:rPr>
          <w:color w:val="000000" w:themeColor="text1"/>
          <w:sz w:val="28"/>
          <w:szCs w:val="28"/>
          <w:shd w:val="clear" w:color="auto" w:fill="FFFFFF"/>
        </w:rPr>
        <w:t xml:space="preserve">В статье анализируется деятельность </w:t>
      </w:r>
      <w:r w:rsidRPr="0074667B">
        <w:rPr>
          <w:bCs/>
          <w:color w:val="000000" w:themeColor="text1"/>
          <w:sz w:val="28"/>
          <w:szCs w:val="28"/>
        </w:rPr>
        <w:t xml:space="preserve">Фонда национального благосостояния России. </w:t>
      </w:r>
      <w:r w:rsidRPr="0074667B">
        <w:rPr>
          <w:color w:val="000000" w:themeColor="text1"/>
          <w:sz w:val="28"/>
          <w:szCs w:val="28"/>
        </w:rPr>
        <w:t>Высокая зависимость государственного бюджета от сырьевых поступлений приводит к необходимости создания специализированных фондов, аккумулирующих денежные средства для стабилизации экономической ситуации в стране в случае значительной волатильности различных экономических показателей</w:t>
      </w:r>
    </w:p>
    <w:p w:rsidR="0074667B" w:rsidRPr="00CA3399" w:rsidRDefault="0074667B" w:rsidP="0074667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667B">
        <w:rPr>
          <w:sz w:val="28"/>
          <w:szCs w:val="28"/>
        </w:rPr>
        <w:t xml:space="preserve">Ключевые слова: </w:t>
      </w:r>
      <w:r w:rsidRPr="0074667B">
        <w:rPr>
          <w:bCs/>
          <w:color w:val="000000" w:themeColor="text1"/>
          <w:sz w:val="28"/>
          <w:szCs w:val="28"/>
        </w:rPr>
        <w:t xml:space="preserve">Фонд национального благосостояния России, </w:t>
      </w:r>
      <w:r w:rsidRPr="0074667B">
        <w:rPr>
          <w:color w:val="000000" w:themeColor="text1"/>
          <w:sz w:val="28"/>
          <w:szCs w:val="28"/>
        </w:rPr>
        <w:t xml:space="preserve">Резервный фонд, Российская Федерация, </w:t>
      </w:r>
      <w:proofErr w:type="spellStart"/>
      <w:r w:rsidR="00723CEF" w:rsidRPr="0074667B">
        <w:rPr>
          <w:color w:val="000000" w:themeColor="text1"/>
          <w:sz w:val="28"/>
          <w:szCs w:val="28"/>
        </w:rPr>
        <w:t>софинансировани</w:t>
      </w:r>
      <w:r w:rsidR="00723CEF">
        <w:rPr>
          <w:color w:val="000000" w:themeColor="text1"/>
          <w:sz w:val="28"/>
          <w:szCs w:val="28"/>
        </w:rPr>
        <w:t>е</w:t>
      </w:r>
      <w:proofErr w:type="spellEnd"/>
      <w:r w:rsidR="00723CEF">
        <w:rPr>
          <w:color w:val="000000" w:themeColor="text1"/>
          <w:sz w:val="28"/>
          <w:szCs w:val="28"/>
        </w:rPr>
        <w:t>,</w:t>
      </w:r>
      <w:r w:rsidR="00723CEF" w:rsidRPr="0074667B">
        <w:rPr>
          <w:color w:val="000000" w:themeColor="text1"/>
          <w:sz w:val="28"/>
          <w:szCs w:val="28"/>
        </w:rPr>
        <w:t xml:space="preserve"> </w:t>
      </w:r>
      <w:r w:rsidRPr="0074667B">
        <w:rPr>
          <w:color w:val="000000" w:themeColor="text1"/>
          <w:sz w:val="28"/>
          <w:szCs w:val="28"/>
        </w:rPr>
        <w:t>пенсионное обеспечение, объем средств</w:t>
      </w:r>
    </w:p>
    <w:p w:rsidR="0074667B" w:rsidRDefault="0074667B" w:rsidP="0074667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729D9" w:rsidRPr="0074667B" w:rsidRDefault="004729D9" w:rsidP="0074667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667B">
        <w:rPr>
          <w:bCs/>
          <w:color w:val="000000" w:themeColor="text1"/>
          <w:sz w:val="28"/>
          <w:szCs w:val="28"/>
        </w:rPr>
        <w:t>Фонд национального благосостояния России (ФНБ)</w:t>
      </w:r>
      <w:r w:rsidRPr="0074667B">
        <w:rPr>
          <w:color w:val="000000" w:themeColor="text1"/>
          <w:sz w:val="28"/>
          <w:szCs w:val="28"/>
        </w:rPr>
        <w:t> — российский </w:t>
      </w:r>
      <w:hyperlink r:id="rId5" w:tooltip="Государственный резервный накопительный фонд" w:history="1">
        <w:r w:rsidRPr="0074667B">
          <w:rPr>
            <w:rStyle w:val="a6"/>
            <w:color w:val="000000" w:themeColor="text1"/>
            <w:sz w:val="28"/>
            <w:szCs w:val="28"/>
            <w:u w:val="none"/>
          </w:rPr>
          <w:t>государственный резервный фонд</w:t>
        </w:r>
      </w:hyperlink>
      <w:r w:rsidRPr="0074667B">
        <w:rPr>
          <w:color w:val="000000" w:themeColor="text1"/>
          <w:sz w:val="28"/>
          <w:szCs w:val="28"/>
        </w:rPr>
        <w:t>, является частью механизма </w:t>
      </w:r>
      <w:hyperlink r:id="rId6" w:tooltip="Пенсионный фонд Российской Федерации" w:history="1">
        <w:r w:rsidRPr="0074667B">
          <w:rPr>
            <w:rStyle w:val="a6"/>
            <w:color w:val="000000" w:themeColor="text1"/>
            <w:sz w:val="28"/>
            <w:szCs w:val="28"/>
            <w:u w:val="none"/>
          </w:rPr>
          <w:t>пенсионного обеспечения</w:t>
        </w:r>
      </w:hyperlink>
      <w:r w:rsidRPr="0074667B">
        <w:rPr>
          <w:color w:val="000000" w:themeColor="text1"/>
          <w:sz w:val="28"/>
          <w:szCs w:val="28"/>
        </w:rPr>
        <w:t> граждан Российской Федерации на длительную перспективу.</w:t>
      </w:r>
    </w:p>
    <w:p w:rsidR="004729D9" w:rsidRPr="0074667B" w:rsidRDefault="004729D9" w:rsidP="0074667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667B">
        <w:rPr>
          <w:color w:val="000000" w:themeColor="text1"/>
          <w:sz w:val="28"/>
          <w:szCs w:val="28"/>
        </w:rPr>
        <w:t>ФНБ формируется за счёт дополнительных доходов федерального бюджета от нефтегазового комплекса и доходов от управления собственными средствами. Фактически, ФНБ наполняется из средств </w:t>
      </w:r>
      <w:hyperlink r:id="rId7" w:tooltip="Федеральный бюджет России" w:history="1">
        <w:r w:rsidRPr="0074667B">
          <w:rPr>
            <w:rStyle w:val="a6"/>
            <w:color w:val="000000" w:themeColor="text1"/>
            <w:sz w:val="28"/>
            <w:szCs w:val="28"/>
            <w:u w:val="none"/>
          </w:rPr>
          <w:t>федерального бюджета</w:t>
        </w:r>
      </w:hyperlink>
      <w:r w:rsidRPr="0074667B">
        <w:rPr>
          <w:color w:val="000000" w:themeColor="text1"/>
          <w:sz w:val="28"/>
          <w:szCs w:val="28"/>
        </w:rPr>
        <w:t xml:space="preserve">, подлежащих обособленному учёту и управлению в целях обеспечения </w:t>
      </w:r>
      <w:proofErr w:type="spellStart"/>
      <w:r w:rsidRPr="0074667B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74667B">
        <w:rPr>
          <w:color w:val="000000" w:themeColor="text1"/>
          <w:sz w:val="28"/>
          <w:szCs w:val="28"/>
        </w:rPr>
        <w:t xml:space="preserve"> добровольных пенсионных накоплений граждан России, а также обеспечения сбалансированности федерального бюджета и бюджета </w:t>
      </w:r>
      <w:hyperlink r:id="rId8" w:tooltip="Пенсионный фонд России" w:history="1">
        <w:r w:rsidRPr="0074667B">
          <w:rPr>
            <w:rStyle w:val="a6"/>
            <w:color w:val="000000" w:themeColor="text1"/>
            <w:sz w:val="28"/>
            <w:szCs w:val="28"/>
            <w:u w:val="none"/>
          </w:rPr>
          <w:t>Пенсионного фонда России</w:t>
        </w:r>
      </w:hyperlink>
      <w:r w:rsidR="00723CEF">
        <w:rPr>
          <w:color w:val="000000" w:themeColor="text1"/>
          <w:sz w:val="28"/>
          <w:szCs w:val="28"/>
        </w:rPr>
        <w:t xml:space="preserve"> </w:t>
      </w:r>
      <w:r w:rsidR="00723CEF" w:rsidRPr="0074667B">
        <w:rPr>
          <w:color w:val="000000" w:themeColor="text1"/>
          <w:sz w:val="28"/>
          <w:szCs w:val="28"/>
        </w:rPr>
        <w:t>[1].</w:t>
      </w:r>
    </w:p>
    <w:p w:rsidR="00723CEF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lastRenderedPageBreak/>
        <w:t xml:space="preserve"> 1 января 2018 года произошла интеграция Резервного фонда и Фонда национального благосостояния России. Таким образом, Резервный фонд прекратил свое существование. Главной целью функционирования Резервного фонда являлось финансирование дефицита бюджета Российской Федерации, в то время как средства Фонда национального благосостояния направлялись на пенсионное обеспечение. Оба фонда были созданы в 2008 году путем разделения Стабилизационного фонда, который предназначался для накопления доходов от роста стоимости углеводородов. С начала этого года Фонд национального благосостояния будет совмещать в себе перечисленные выше функции. Согласно Бюджетному кодексу Фонд национального благосостояния представляет собой часть средств федерального бюджета, подлежащих обособленному учету и управлению в целях обеспечения </w:t>
      </w:r>
      <w:proofErr w:type="spellStart"/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софинансирования</w:t>
      </w:r>
      <w:proofErr w:type="spellEnd"/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 добровольных пенсионных накоплений граждан Российской Федерации, а также обеспечения сбалансированности (покрытия дефицита) федерального бюджета и бюджета Пенсионного фонда Российской Федерации [</w:t>
      </w:r>
      <w:r w:rsid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2</w:t>
      </w: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]. 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Ключевой причиной объединения двух фондов Министерство финансов видит в улучшении управляемости их средствами.</w:t>
      </w:r>
    </w:p>
    <w:p w:rsid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Формирование Фонда национального благосостояния происходит за счет нескольких источников. Определенная часть нефтегазовых доходов, к которым относят налог на добычу полезных ископаемых в виде углеводородного сырья, вывозные таможенные пошлины на нефть сырую, вывозные таможенные пошлины на газ природный, вывозные таможенные пошлины на товары, выработанные из нефти, в виде нефтегазового трансферта ежегодно направляется на финансирование расходов федерального бюджета. После формирования нефтегазового трансферта в полном объеме нефтегазовые доходы поступали в Резервный фонд, а после наполнения Резервного фонда направлялись в Фонд национального благосостояния. С 2018 года данные средства будут сразу направляться в Фонд национального благосостояния. Другим источником формирования </w:t>
      </w: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lastRenderedPageBreak/>
        <w:t>Фонда национального благосостояния являются доходы от управления его средствами [</w:t>
      </w:r>
      <w:r w:rsid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3</w:t>
      </w: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]. 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Управление средствами фонда осуществляется Министерством финансов Российской Федерации. Цель управления – обеспечение сохранности и стабильности доходов от размещения в долгосрочной перспективе. Управление средствами фонда может осуществляться путем размещения средств в иностранную валюту и финансовые активы, номинированные в иностранной валюте. В таблице 1 представлены данные об объеме Фонда национального благосостояния с начала функционирования данного фонда по настоящее время.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Таблица 1.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Объем средств Фонда национального благосостояния в Российской Федерации</w:t>
      </w:r>
      <w:r w:rsid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 </w:t>
      </w:r>
      <w:r w:rsidR="00723CEF"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[</w:t>
      </w:r>
      <w:r w:rsid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3</w:t>
      </w:r>
      <w:r w:rsidR="00723CEF"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].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в млрд. рублей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в процентах к ВВП</w:t>
            </w:r>
          </w:p>
        </w:tc>
      </w:tr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01.01.2018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3 752,94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3,9%</w:t>
            </w:r>
          </w:p>
        </w:tc>
      </w:tr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01.01.2017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4 359,16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4,7%</w:t>
            </w:r>
          </w:p>
        </w:tc>
      </w:tr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01.01.2016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5 227,18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6,1%</w:t>
            </w:r>
          </w:p>
        </w:tc>
      </w:tr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01.01.2015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4 388,09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5,3%</w:t>
            </w:r>
          </w:p>
        </w:tc>
      </w:tr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01.01.2014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2 900,64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4,0%</w:t>
            </w:r>
          </w:p>
        </w:tc>
      </w:tr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01.01.2013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2 690,63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3,9%</w:t>
            </w:r>
          </w:p>
        </w:tc>
      </w:tr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01.01.2012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2 794,43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4,6%</w:t>
            </w:r>
          </w:p>
        </w:tc>
      </w:tr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01.01.2011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2 695,52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5,8%</w:t>
            </w:r>
          </w:p>
        </w:tc>
      </w:tr>
      <w:tr w:rsid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01.01.2010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2 769,02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74667B" w:rsidRP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01.01.2009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2 584,49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6,3%</w:t>
            </w:r>
          </w:p>
        </w:tc>
      </w:tr>
      <w:tr w:rsidR="0074667B" w:rsidRPr="0074667B" w:rsidTr="0074667B">
        <w:tc>
          <w:tcPr>
            <w:tcW w:w="5070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01.02.2008</w:t>
            </w:r>
          </w:p>
        </w:tc>
        <w:tc>
          <w:tcPr>
            <w:tcW w:w="2268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783,31</w:t>
            </w:r>
          </w:p>
        </w:tc>
        <w:tc>
          <w:tcPr>
            <w:tcW w:w="2233" w:type="dxa"/>
          </w:tcPr>
          <w:p w:rsidR="0074667B" w:rsidRPr="0074667B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1,9%</w:t>
            </w:r>
          </w:p>
        </w:tc>
      </w:tr>
    </w:tbl>
    <w:p w:rsidR="0074667B" w:rsidRPr="0074667B" w:rsidRDefault="0074667B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Pr="0074667B" w:rsidRDefault="004729D9" w:rsidP="00723C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667B">
        <w:rPr>
          <w:color w:val="000000" w:themeColor="text1"/>
        </w:rPr>
        <w:t>  </w:t>
      </w:r>
      <w:r w:rsidR="00723CEF" w:rsidRPr="0074667B">
        <w:rPr>
          <w:color w:val="000000" w:themeColor="text1"/>
          <w:sz w:val="28"/>
          <w:szCs w:val="28"/>
        </w:rPr>
        <w:t>Фонд национального благосостояния за 2018 год вырос на 7,6% - до 4 трлн 36 млрд 48 млн рублей по сравнению с 3,75 трлн рублей на начало прошлого года. Об этом сообщается в материалах Минфина России.</w:t>
      </w:r>
    </w:p>
    <w:p w:rsidR="00723CEF" w:rsidRPr="0074667B" w:rsidRDefault="00723CEF" w:rsidP="00723C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667B">
        <w:rPr>
          <w:color w:val="000000" w:themeColor="text1"/>
          <w:sz w:val="28"/>
          <w:szCs w:val="28"/>
        </w:rPr>
        <w:t>Объем ФНБ в пересчете на доллары составил $58,097 млрд. </w:t>
      </w:r>
    </w:p>
    <w:p w:rsidR="00723CEF" w:rsidRPr="0074667B" w:rsidRDefault="00723CEF" w:rsidP="00723C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667B">
        <w:rPr>
          <w:color w:val="000000" w:themeColor="text1"/>
          <w:sz w:val="28"/>
          <w:szCs w:val="28"/>
        </w:rPr>
        <w:t>При этом на 1 декабря объем ФНБ составлял 4 трлн 567,747 млрд рублей и за месяц сократился на 531,7 млрд рублей. Для погашения дефицита Пенсионного фонда РФ часть средств ФНБ на счетах в Банке России в сумме $4,388 млрд, €3,859 млрд и £771 млн была реализована за 648,2 млрд рублей и направлена на счет по учету средств федерального бюджета.</w:t>
      </w:r>
    </w:p>
    <w:p w:rsidR="00723CEF" w:rsidRPr="0074667B" w:rsidRDefault="00723CEF" w:rsidP="00723C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667B">
        <w:rPr>
          <w:color w:val="000000" w:themeColor="text1"/>
          <w:sz w:val="28"/>
          <w:szCs w:val="28"/>
        </w:rPr>
        <w:lastRenderedPageBreak/>
        <w:t>На отдельных счетах по учету средств ФНБ в Банке России на начало 2019 года размещено $15,261 млрд, €13,411 млрд и £2,601 млрд. На депозитах в "ВЭБ.РФ" - 581,1995 млрд рублей. В долговые обязательства иностранных государств вложено $3 млрд, в бумаги российских эмитентов, связанных с реализацией самоокупаемых инфраструктурных проектов, - 161,63 млрд рублей и $4,11 млрд, в привилегированные акции кредитных организаций - 278,99 млрд рублей. На депозитах ВТБ и Газпромбанка в целях финансирования самоокупаемых инфраструктурных проектов находятся еще 164,43 млрд рублей.</w:t>
      </w:r>
    </w:p>
    <w:p w:rsidR="00723CEF" w:rsidRPr="0074667B" w:rsidRDefault="00723CEF" w:rsidP="00723C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667B">
        <w:rPr>
          <w:color w:val="000000" w:themeColor="text1"/>
          <w:sz w:val="28"/>
          <w:szCs w:val="28"/>
        </w:rPr>
        <w:t>Доход от размещения средств ФНБ за 2018 год в финансовых активах, за исключением средств на счетах в ЦБ РФ, составил 58 млрд 195,6 млн рублей или $923,3 млн. Курсовая разница от переоценки средств фонда в 2018 году составила 489 млрд 716,7 млн рублей.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Наглядно динамика средств Фонда национального благосостояния представлен на рисунке 1.</w:t>
      </w:r>
    </w:p>
    <w:p w:rsidR="004729D9" w:rsidRPr="0074667B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hadow w:val="0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42545</wp:posOffset>
            </wp:positionV>
            <wp:extent cx="5381625" cy="2943225"/>
            <wp:effectExtent l="19050" t="0" r="9525" b="0"/>
            <wp:wrapSquare wrapText="bothSides"/>
            <wp:docPr id="1" name="Рисунок 1" descr="https://sibac.info/files/2018_01_22_studmeghdis/Lykova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files/2018_01_22_studmeghdis/Lykova.files/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9D9"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 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</w:pP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Рисунок 1. Динамика средств Фонда национального благосостояния Российской Федерации, млрд рублей</w:t>
      </w:r>
      <w:r w:rsidR="00723CEF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 xml:space="preserve"> </w:t>
      </w:r>
      <w:r w:rsidR="00723CEF"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[</w:t>
      </w:r>
      <w:r w:rsid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3</w:t>
      </w:r>
      <w:r w:rsidR="00723CEF"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].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 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Пополнение Фонда национального благосостояния в 2018 году возможно при сохранении цен на нефть и курсовых соотношений на уровне, </w:t>
      </w: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lastRenderedPageBreak/>
        <w:t>который сложился на текущий момент. Министерство финансов будет пополнять Фонд национального благосостояния, направляя в него купленную по бюджетному правилу валюту. В 2018 году Фонд национального благосостояния пополнится валютой на 829,2 млрд рублей, которую Министерство финансов приобрело на рынке в рамках валютных интервенций за прошлый год.</w:t>
      </w:r>
    </w:p>
    <w:p w:rsidR="004729D9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Федеральный бюджет нашего государства является зависимым от сырьевых поступлений. Проанализировав структуру доходов федерального бюджета, можно увидеть, что нефтегазовые доходы на 2017 год составляют 37,4%, что подтверждает зависимость федерального бюджета от продажи нефтегазовых продуктов. В таблице 2 представлена структура доходов федерального бюджета по укрупненным пунктам.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iCs/>
          <w:shadow w:val="0"/>
          <w:color w:val="000000" w:themeColor="text1"/>
          <w:sz w:val="28"/>
          <w:szCs w:val="28"/>
        </w:rPr>
        <w:t>Таблица 2.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Доходы федерального бюджета в 2017-2019 </w:t>
      </w:r>
      <w:proofErr w:type="spellStart"/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гг</w:t>
      </w:r>
      <w:proofErr w:type="spellEnd"/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, млрд руб.</w:t>
      </w:r>
      <w:r w:rsidR="00723CEF" w:rsidRP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 </w:t>
      </w:r>
      <w:r w:rsidR="00723CEF"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[</w:t>
      </w:r>
      <w:r w:rsid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4</w:t>
      </w:r>
      <w:r w:rsidR="00723CEF"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].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418"/>
        <w:gridCol w:w="1134"/>
        <w:gridCol w:w="1134"/>
        <w:gridCol w:w="1099"/>
      </w:tblGrid>
      <w:tr w:rsidR="0074667B" w:rsidTr="0074667B">
        <w:tc>
          <w:tcPr>
            <w:tcW w:w="2518" w:type="dxa"/>
          </w:tcPr>
          <w:p w:rsidR="0074667B" w:rsidRPr="00723CEF" w:rsidRDefault="004729D9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4667B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8"/>
                <w:szCs w:val="28"/>
              </w:rPr>
              <w:t> </w:t>
            </w:r>
            <w:r w:rsidR="0074667B"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gridSpan w:val="2"/>
          </w:tcPr>
          <w:p w:rsidR="0074667B" w:rsidRPr="00723CEF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552" w:type="dxa"/>
            <w:gridSpan w:val="2"/>
          </w:tcPr>
          <w:p w:rsidR="0074667B" w:rsidRPr="00723CEF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233" w:type="dxa"/>
            <w:gridSpan w:val="2"/>
          </w:tcPr>
          <w:p w:rsidR="0074667B" w:rsidRPr="00723CEF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74667B" w:rsidTr="00024569">
        <w:tc>
          <w:tcPr>
            <w:tcW w:w="2518" w:type="dxa"/>
            <w:vAlign w:val="center"/>
          </w:tcPr>
          <w:p w:rsidR="0074667B" w:rsidRPr="00723CEF" w:rsidRDefault="0074667B" w:rsidP="00DC4635">
            <w:pPr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67B" w:rsidRPr="00723CEF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млрд руб.</w:t>
            </w:r>
          </w:p>
        </w:tc>
        <w:tc>
          <w:tcPr>
            <w:tcW w:w="1134" w:type="dxa"/>
          </w:tcPr>
          <w:p w:rsidR="0074667B" w:rsidRPr="00723CEF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4667B" w:rsidRPr="00723CEF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млрд руб.</w:t>
            </w:r>
          </w:p>
        </w:tc>
        <w:tc>
          <w:tcPr>
            <w:tcW w:w="1134" w:type="dxa"/>
          </w:tcPr>
          <w:p w:rsidR="0074667B" w:rsidRPr="00723CEF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4667B" w:rsidRPr="00723CEF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млрд руб.</w:t>
            </w:r>
          </w:p>
        </w:tc>
        <w:tc>
          <w:tcPr>
            <w:tcW w:w="1099" w:type="dxa"/>
          </w:tcPr>
          <w:p w:rsidR="0074667B" w:rsidRPr="00723CEF" w:rsidRDefault="0074667B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723CEF" w:rsidTr="0074667B">
        <w:tc>
          <w:tcPr>
            <w:tcW w:w="2518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13437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13989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14825</w:t>
            </w:r>
          </w:p>
        </w:tc>
        <w:tc>
          <w:tcPr>
            <w:tcW w:w="1099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23CEF" w:rsidTr="0074667B">
        <w:tc>
          <w:tcPr>
            <w:tcW w:w="2518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Нефтегазовые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5029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37,4</w:t>
            </w:r>
          </w:p>
        </w:tc>
        <w:tc>
          <w:tcPr>
            <w:tcW w:w="1418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5133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5370</w:t>
            </w:r>
          </w:p>
        </w:tc>
        <w:tc>
          <w:tcPr>
            <w:tcW w:w="1099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36,2</w:t>
            </w:r>
          </w:p>
        </w:tc>
      </w:tr>
      <w:tr w:rsidR="00723CEF" w:rsidTr="0074667B">
        <w:tc>
          <w:tcPr>
            <w:tcW w:w="2518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proofErr w:type="spellStart"/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Ненефтегазовые</w:t>
            </w:r>
            <w:proofErr w:type="spellEnd"/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8408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62,6</w:t>
            </w:r>
          </w:p>
        </w:tc>
        <w:tc>
          <w:tcPr>
            <w:tcW w:w="1418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8856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63,3</w:t>
            </w:r>
          </w:p>
        </w:tc>
        <w:tc>
          <w:tcPr>
            <w:tcW w:w="1134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9455</w:t>
            </w:r>
          </w:p>
        </w:tc>
        <w:tc>
          <w:tcPr>
            <w:tcW w:w="1099" w:type="dxa"/>
          </w:tcPr>
          <w:p w:rsidR="00723CEF" w:rsidRPr="00723CEF" w:rsidRDefault="00723CEF" w:rsidP="00DC4635">
            <w:pPr>
              <w:textAlignment w:val="baseline"/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</w:pPr>
            <w:r w:rsidRPr="00723CEF">
              <w:rPr>
                <w:rFonts w:ascii="Times New Roman" w:eastAsia="Times New Roman" w:hAnsi="Times New Roman" w:cs="Times New Roman"/>
                <w:shadow w:val="0"/>
                <w:color w:val="000000" w:themeColor="text1"/>
                <w:sz w:val="24"/>
                <w:szCs w:val="24"/>
              </w:rPr>
              <w:t>63,8</w:t>
            </w:r>
          </w:p>
        </w:tc>
      </w:tr>
    </w:tbl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Для того, чтобы избежать увеличения дефицита бюджета, вследствие волатильности цен на нефть, Министерство финансов в феврале 2017 года начало проводить валютные интервенции на внутреннем рынке года в порядке подготовки к введению нового бюджетного правила. Согласно данному правилу, ведомство покупает валюту на внутреннем рынке при цене на нефть выше 40 долларов за баррель. При снижении цены на нефть ниже заложенной в бюджете будут проводиться операции по продаже валюты в объеме выпадающих нефтегазовых доходов. Следование данной стратегии позволит избежать дефицита федерального бюджета при резких колебаниях сырьевого рынка.</w:t>
      </w:r>
    </w:p>
    <w:p w:rsidR="00723CEF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lastRenderedPageBreak/>
        <w:t xml:space="preserve">Ожидается, что в 2018 году дефицит бюджета Российской Федерации составит 1,271 трлн рублей. Однако власти рассчитывают, что 2018-й станет последним годом, когда дефицит бюджета будет финансироваться из Фонда национального благосостояния. На финансирование дефицита, а также на </w:t>
      </w:r>
      <w:proofErr w:type="spellStart"/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софинансирование</w:t>
      </w:r>
      <w:proofErr w:type="spellEnd"/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 добровольных пенсионных накоплений будет направлено 1,114 трлн рублей [</w:t>
      </w:r>
      <w:r w:rsid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4</w:t>
      </w: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]. </w:t>
      </w:r>
    </w:p>
    <w:p w:rsidR="004729D9" w:rsidRPr="0074667B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В последующие годы средства Фонда национального благосостояния предполагается направлять на поддержание сбалансированности страховой пенсионной системы и </w:t>
      </w:r>
      <w:proofErr w:type="spellStart"/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софинансирование</w:t>
      </w:r>
      <w:proofErr w:type="spellEnd"/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 добровольных пенсионных накоплений.</w:t>
      </w:r>
    </w:p>
    <w:p w:rsidR="004729D9" w:rsidRDefault="004729D9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4667B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 </w:t>
      </w: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Pr="0074667B" w:rsidRDefault="00723CEF" w:rsidP="0074667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4729D9" w:rsidRDefault="004729D9" w:rsidP="00723CEF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hadow w:val="0"/>
          <w:color w:val="000000" w:themeColor="text1"/>
          <w:sz w:val="28"/>
          <w:szCs w:val="28"/>
        </w:rPr>
      </w:pPr>
      <w:r w:rsidRPr="00723CEF">
        <w:rPr>
          <w:rFonts w:ascii="Times New Roman" w:eastAsia="Times New Roman" w:hAnsi="Times New Roman" w:cs="Times New Roman"/>
          <w:b/>
          <w:shadow w:val="0"/>
          <w:color w:val="000000" w:themeColor="text1"/>
          <w:sz w:val="28"/>
          <w:szCs w:val="28"/>
        </w:rPr>
        <w:lastRenderedPageBreak/>
        <w:t>Список литературы:</w:t>
      </w:r>
    </w:p>
    <w:p w:rsidR="00723CEF" w:rsidRPr="00723CEF" w:rsidRDefault="00723CEF" w:rsidP="00723CEF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</w:p>
    <w:p w:rsidR="00723CEF" w:rsidRPr="00723CEF" w:rsidRDefault="00723CEF" w:rsidP="00723CEF">
      <w:pPr>
        <w:pStyle w:val="1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 w:val="0"/>
          <w:shadow w:val="0"/>
          <w:color w:val="000000" w:themeColor="text1"/>
        </w:rPr>
      </w:pPr>
      <w:r w:rsidRPr="00723CEF">
        <w:rPr>
          <w:rFonts w:ascii="Times New Roman" w:eastAsia="Times New Roman" w:hAnsi="Times New Roman" w:cs="Times New Roman"/>
          <w:b w:val="0"/>
          <w:shadow w:val="0"/>
          <w:color w:val="000000" w:themeColor="text1"/>
        </w:rPr>
        <w:t xml:space="preserve">Бюджетный кодекс Российской Федерации от 31.07.1998 №145–ФЗ </w:t>
      </w:r>
      <w:r w:rsidRPr="00723CEF">
        <w:rPr>
          <w:rFonts w:ascii="Times New Roman" w:eastAsia="Times New Roman" w:hAnsi="Times New Roman" w:cs="Times New Roman"/>
          <w:b w:val="0"/>
          <w:shadow w:val="0"/>
          <w:color w:val="000000" w:themeColor="text1"/>
          <w:kern w:val="36"/>
        </w:rPr>
        <w:t>(ред. от 15.04.2019)</w:t>
      </w:r>
    </w:p>
    <w:p w:rsidR="00723CEF" w:rsidRPr="00723CEF" w:rsidRDefault="00723CEF" w:rsidP="00723CEF">
      <w:pPr>
        <w:pStyle w:val="1"/>
        <w:numPr>
          <w:ilvl w:val="0"/>
          <w:numId w:val="1"/>
        </w:numPr>
        <w:shd w:val="clear" w:color="auto" w:fill="FFFFFF"/>
        <w:spacing w:before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 w:val="0"/>
          <w:shadow w:val="0"/>
          <w:color w:val="000000" w:themeColor="text1"/>
        </w:rPr>
      </w:pPr>
      <w:r w:rsidRPr="00723CEF">
        <w:rPr>
          <w:rFonts w:ascii="Times New Roman" w:eastAsia="Times New Roman" w:hAnsi="Times New Roman" w:cs="Times New Roman"/>
          <w:b w:val="0"/>
          <w:shadow w:val="0"/>
          <w:color w:val="000000" w:themeColor="text1"/>
          <w:bdr w:val="none" w:sz="0" w:space="0" w:color="auto" w:frame="1"/>
        </w:rPr>
        <w:t xml:space="preserve">Лыкова Е.А. Фонд национального благосостояния российской федерации // Научное сообщество студентов: Междисциплинарные исследования: сб. ст. по мат. XXXVII </w:t>
      </w:r>
      <w:proofErr w:type="spellStart"/>
      <w:r w:rsidRPr="00723CEF">
        <w:rPr>
          <w:rFonts w:ascii="Times New Roman" w:eastAsia="Times New Roman" w:hAnsi="Times New Roman" w:cs="Times New Roman"/>
          <w:b w:val="0"/>
          <w:shadow w:val="0"/>
          <w:color w:val="000000" w:themeColor="text1"/>
          <w:bdr w:val="none" w:sz="0" w:space="0" w:color="auto" w:frame="1"/>
        </w:rPr>
        <w:t>междунар</w:t>
      </w:r>
      <w:proofErr w:type="spellEnd"/>
      <w:r w:rsidRPr="00723CEF">
        <w:rPr>
          <w:rFonts w:ascii="Times New Roman" w:eastAsia="Times New Roman" w:hAnsi="Times New Roman" w:cs="Times New Roman"/>
          <w:b w:val="0"/>
          <w:shadow w:val="0"/>
          <w:color w:val="000000" w:themeColor="text1"/>
          <w:bdr w:val="none" w:sz="0" w:space="0" w:color="auto" w:frame="1"/>
        </w:rPr>
        <w:t>. студ. науч.-</w:t>
      </w:r>
      <w:proofErr w:type="spellStart"/>
      <w:r w:rsidRPr="00723CEF">
        <w:rPr>
          <w:rFonts w:ascii="Times New Roman" w:eastAsia="Times New Roman" w:hAnsi="Times New Roman" w:cs="Times New Roman"/>
          <w:b w:val="0"/>
          <w:shadow w:val="0"/>
          <w:color w:val="000000" w:themeColor="text1"/>
          <w:bdr w:val="none" w:sz="0" w:space="0" w:color="auto" w:frame="1"/>
        </w:rPr>
        <w:t>практ</w:t>
      </w:r>
      <w:proofErr w:type="spellEnd"/>
      <w:r w:rsidRPr="00723CEF">
        <w:rPr>
          <w:rFonts w:ascii="Times New Roman" w:eastAsia="Times New Roman" w:hAnsi="Times New Roman" w:cs="Times New Roman"/>
          <w:b w:val="0"/>
          <w:shadow w:val="0"/>
          <w:color w:val="000000" w:themeColor="text1"/>
          <w:bdr w:val="none" w:sz="0" w:space="0" w:color="auto" w:frame="1"/>
        </w:rPr>
        <w:t xml:space="preserve">. </w:t>
      </w:r>
      <w:proofErr w:type="spellStart"/>
      <w:r w:rsidRPr="00723CEF">
        <w:rPr>
          <w:rFonts w:ascii="Times New Roman" w:eastAsia="Times New Roman" w:hAnsi="Times New Roman" w:cs="Times New Roman"/>
          <w:b w:val="0"/>
          <w:shadow w:val="0"/>
          <w:color w:val="000000" w:themeColor="text1"/>
          <w:bdr w:val="none" w:sz="0" w:space="0" w:color="auto" w:frame="1"/>
        </w:rPr>
        <w:t>конф</w:t>
      </w:r>
      <w:proofErr w:type="spellEnd"/>
      <w:r w:rsidRPr="00723CEF">
        <w:rPr>
          <w:rFonts w:ascii="Times New Roman" w:eastAsia="Times New Roman" w:hAnsi="Times New Roman" w:cs="Times New Roman"/>
          <w:b w:val="0"/>
          <w:shadow w:val="0"/>
          <w:color w:val="000000" w:themeColor="text1"/>
          <w:bdr w:val="none" w:sz="0" w:space="0" w:color="auto" w:frame="1"/>
        </w:rPr>
        <w:t>. № 2(37). URL: https://sibac.info/archive/meghdis/2(37).pdf (дата обращения: 26.05.2019)</w:t>
      </w:r>
    </w:p>
    <w:p w:rsidR="00723CEF" w:rsidRPr="00723CEF" w:rsidRDefault="00723CEF" w:rsidP="00723CEF">
      <w:pPr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</w:pPr>
      <w:r w:rsidRP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Официальный сайт Министерства финансов [Электронный ресурс] / Режим доступа: </w:t>
      </w:r>
      <w:hyperlink r:id="rId10" w:history="1">
        <w:r w:rsidRPr="00723CEF">
          <w:rPr>
            <w:rStyle w:val="a6"/>
            <w:rFonts w:ascii="Times New Roman" w:eastAsia="Times New Roman" w:hAnsi="Times New Roman" w:cs="Times New Roman"/>
            <w:shadow w:val="0"/>
            <w:color w:val="000000" w:themeColor="text1"/>
            <w:sz w:val="28"/>
            <w:szCs w:val="28"/>
          </w:rPr>
          <w:t>https://www.minfin.ru/ru/</w:t>
        </w:r>
      </w:hyperlink>
      <w:r w:rsidRP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>. (дата обращения: 25.05. 2019)</w:t>
      </w:r>
    </w:p>
    <w:p w:rsidR="00723CEF" w:rsidRPr="00723CEF" w:rsidRDefault="00723CEF" w:rsidP="00723CEF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Информационное агентство «РБК» [Электронный ресурс]. – Режим доступа: </w:t>
      </w:r>
      <w:hyperlink r:id="rId11" w:history="1">
        <w:r w:rsidRPr="00723CEF">
          <w:rPr>
            <w:rStyle w:val="a6"/>
            <w:rFonts w:ascii="Times New Roman" w:eastAsia="Times New Roman" w:hAnsi="Times New Roman" w:cs="Times New Roman"/>
            <w:shadow w:val="0"/>
            <w:color w:val="000000" w:themeColor="text1"/>
            <w:sz w:val="28"/>
            <w:szCs w:val="28"/>
          </w:rPr>
          <w:t>http://www.rbc.ru</w:t>
        </w:r>
      </w:hyperlink>
      <w:r w:rsidRP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</w:rPr>
        <w:t xml:space="preserve"> (дата обращения: 25.05. 2019)</w:t>
      </w:r>
    </w:p>
    <w:p w:rsidR="004729D9" w:rsidRPr="00723CEF" w:rsidRDefault="00723CEF" w:rsidP="00723CEF">
      <w:pPr>
        <w:shd w:val="clear" w:color="auto" w:fill="FFFFFF"/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729D9" w:rsidRPr="00723CEF">
        <w:rPr>
          <w:rFonts w:ascii="Times New Roman" w:eastAsia="Times New Roman" w:hAnsi="Times New Roman" w:cs="Times New Roman"/>
          <w:shadow w:val="0"/>
          <w:color w:val="000000" w:themeColor="text1"/>
          <w:sz w:val="28"/>
          <w:szCs w:val="28"/>
          <w:bdr w:val="none" w:sz="0" w:space="0" w:color="auto" w:frame="1"/>
        </w:rPr>
        <w:br/>
      </w:r>
    </w:p>
    <w:p w:rsidR="003919DF" w:rsidRPr="0074667B" w:rsidRDefault="003919DF" w:rsidP="007466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19DF" w:rsidRPr="0074667B" w:rsidSect="0039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66F"/>
    <w:multiLevelType w:val="multilevel"/>
    <w:tmpl w:val="A0D4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9D9"/>
    <w:rsid w:val="00056B62"/>
    <w:rsid w:val="001D3D35"/>
    <w:rsid w:val="002332D8"/>
    <w:rsid w:val="003919DF"/>
    <w:rsid w:val="004729D9"/>
    <w:rsid w:val="005076A4"/>
    <w:rsid w:val="00723CEF"/>
    <w:rsid w:val="0074667B"/>
    <w:rsid w:val="009B1565"/>
    <w:rsid w:val="00B43833"/>
    <w:rsid w:val="00B905E9"/>
    <w:rsid w:val="00C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809F"/>
  <w15:docId w15:val="{0ED3C976-BE96-4D79-8049-E396A7CC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65"/>
    <w:pPr>
      <w:spacing w:line="240" w:lineRule="auto"/>
      <w:ind w:firstLine="0"/>
      <w:jc w:val="left"/>
    </w:pPr>
    <w:rPr>
      <w:rFonts w:ascii="Impact" w:hAnsi="Impact"/>
      <w:shadow/>
      <w:color w:val="FF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15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hadow w:val="0"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1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15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65"/>
    <w:rPr>
      <w:rFonts w:asciiTheme="majorHAnsi" w:eastAsiaTheme="majorEastAsia" w:hAnsiTheme="majorHAnsi" w:cstheme="majorBidi"/>
      <w:b/>
      <w:bCs/>
      <w:shadow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565"/>
    <w:rPr>
      <w:rFonts w:asciiTheme="majorHAnsi" w:eastAsiaTheme="majorEastAsia" w:hAnsiTheme="majorHAnsi" w:cstheme="majorBidi"/>
      <w:b/>
      <w:bCs/>
      <w:shadow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1565"/>
    <w:rPr>
      <w:rFonts w:asciiTheme="majorHAnsi" w:eastAsiaTheme="majorEastAsia" w:hAnsiTheme="majorHAnsi" w:cstheme="majorBidi"/>
      <w:b/>
      <w:bCs/>
      <w:i/>
      <w:iCs/>
      <w:shadow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B1565"/>
    <w:rPr>
      <w:b/>
      <w:bCs/>
    </w:rPr>
  </w:style>
  <w:style w:type="paragraph" w:styleId="a4">
    <w:name w:val="List Paragraph"/>
    <w:basedOn w:val="a"/>
    <w:uiPriority w:val="34"/>
    <w:qFormat/>
    <w:rsid w:val="009B156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4729D9"/>
    <w:pPr>
      <w:spacing w:before="100" w:beforeAutospacing="1" w:after="100" w:afterAutospacing="1"/>
    </w:pPr>
    <w:rPr>
      <w:rFonts w:ascii="Times New Roman" w:eastAsia="Times New Roman" w:hAnsi="Times New Roman" w:cs="Times New Roman"/>
      <w:shadow w:val="0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4729D9"/>
    <w:rPr>
      <w:color w:val="0000FF"/>
      <w:u w:val="single"/>
    </w:rPr>
  </w:style>
  <w:style w:type="character" w:styleId="a7">
    <w:name w:val="Emphasis"/>
    <w:basedOn w:val="a0"/>
    <w:uiPriority w:val="20"/>
    <w:qFormat/>
    <w:rsid w:val="004729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2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9D9"/>
    <w:rPr>
      <w:rFonts w:ascii="Tahoma" w:hAnsi="Tahoma" w:cs="Tahoma"/>
      <w:shadow/>
      <w:color w:val="FF00FF"/>
      <w:sz w:val="16"/>
      <w:szCs w:val="16"/>
      <w:lang w:eastAsia="ru-RU"/>
    </w:rPr>
  </w:style>
  <w:style w:type="table" w:styleId="aa">
    <w:name w:val="Table Grid"/>
    <w:basedOn w:val="a1"/>
    <w:uiPriority w:val="59"/>
    <w:rsid w:val="007466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D%D1%81%D0%B8%D0%BE%D0%BD%D0%BD%D1%8B%D0%B9_%D1%84%D0%BE%D0%BD%D0%B4_%D0%A0%D0%BE%D1%81%D1%81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5%D0%B4%D0%B5%D1%80%D0%B0%D0%BB%D1%8C%D0%BD%D1%8B%D0%B9_%D0%B1%D1%8E%D0%B4%D0%B6%D0%B5%D1%82_%D0%A0%D0%BE%D1%81%D1%81%D0%B8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0%BD%D1%81%D0%B8%D0%BE%D0%BD%D0%BD%D1%8B%D0%B9_%D1%84%D0%BE%D0%BD%D0%B4_%D0%A0%D0%BE%D1%81%D1%81%D0%B8%D0%B9%D1%81%D0%BA%D0%BE%D0%B9_%D0%A4%D0%B5%D0%B4%D0%B5%D1%80%D0%B0%D1%86%D0%B8%D0%B8" TargetMode="External"/><Relationship Id="rId11" Type="http://schemas.openxmlformats.org/officeDocument/2006/relationships/hyperlink" Target="http://www.rbc.ru" TargetMode="External"/><Relationship Id="rId5" Type="http://schemas.openxmlformats.org/officeDocument/2006/relationships/hyperlink" Target="https://ru.wikipedia.org/wiki/%D0%93%D0%BE%D1%81%D1%83%D0%B4%D0%B0%D1%80%D1%81%D1%82%D0%B2%D0%B5%D0%BD%D0%BD%D1%8B%D0%B9_%D1%80%D0%B5%D0%B7%D0%B5%D1%80%D0%B2%D0%BD%D1%8B%D0%B9_%D0%BD%D0%B0%D0%BA%D0%BE%D0%BF%D0%B8%D1%82%D0%B5%D0%BB%D1%8C%D0%BD%D1%8B%D0%B9_%D1%84%D0%BE%D0%BD%D0%B4" TargetMode="External"/><Relationship Id="rId10" Type="http://schemas.openxmlformats.org/officeDocument/2006/relationships/hyperlink" Target="https://www.minfin.ru/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Atikat</dc:creator>
  <cp:lastModifiedBy>Махмуд Эмиров</cp:lastModifiedBy>
  <cp:revision>3</cp:revision>
  <dcterms:created xsi:type="dcterms:W3CDTF">2019-05-26T09:17:00Z</dcterms:created>
  <dcterms:modified xsi:type="dcterms:W3CDTF">2020-09-07T14:32:00Z</dcterms:modified>
</cp:coreProperties>
</file>