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A8" w:rsidRDefault="00566FA8">
      <w:pPr>
        <w:spacing w:line="365" w:lineRule="exact"/>
        <w:rPr>
          <w:sz w:val="24"/>
          <w:szCs w:val="24"/>
        </w:rPr>
      </w:pPr>
    </w:p>
    <w:p w:rsidR="00A539EC" w:rsidRDefault="00A539EC" w:rsidP="00A539EC">
      <w:pPr>
        <w:spacing w:line="365" w:lineRule="exact"/>
        <w:jc w:val="right"/>
        <w:rPr>
          <w:sz w:val="24"/>
          <w:szCs w:val="24"/>
        </w:rPr>
      </w:pPr>
      <w:r>
        <w:rPr>
          <w:sz w:val="24"/>
          <w:szCs w:val="24"/>
        </w:rPr>
        <w:t xml:space="preserve">Муратбеков Саид Маратович </w:t>
      </w:r>
    </w:p>
    <w:p w:rsidR="00A539EC" w:rsidRDefault="00A539EC" w:rsidP="00A539EC">
      <w:pPr>
        <w:spacing w:line="365" w:lineRule="exact"/>
        <w:jc w:val="right"/>
        <w:rPr>
          <w:sz w:val="24"/>
          <w:szCs w:val="24"/>
        </w:rPr>
      </w:pPr>
      <w:r>
        <w:rPr>
          <w:sz w:val="24"/>
          <w:szCs w:val="24"/>
        </w:rPr>
        <w:t xml:space="preserve">Студент 1 курса 9 группы Юридического колледжа РПА  </w:t>
      </w:r>
    </w:p>
    <w:p w:rsidR="00A539EC" w:rsidRDefault="00A539EC" w:rsidP="00A539EC">
      <w:pPr>
        <w:spacing w:line="365" w:lineRule="exact"/>
        <w:jc w:val="right"/>
        <w:rPr>
          <w:sz w:val="24"/>
          <w:szCs w:val="24"/>
        </w:rPr>
      </w:pPr>
      <w:r>
        <w:rPr>
          <w:sz w:val="24"/>
          <w:szCs w:val="24"/>
        </w:rPr>
        <w:t>В г.Махачкала</w:t>
      </w:r>
    </w:p>
    <w:p w:rsidR="00A539EC" w:rsidRDefault="00A539EC" w:rsidP="00A539EC">
      <w:pPr>
        <w:spacing w:line="365" w:lineRule="exact"/>
        <w:jc w:val="right"/>
        <w:rPr>
          <w:sz w:val="24"/>
          <w:szCs w:val="24"/>
        </w:rPr>
      </w:pPr>
      <w:r>
        <w:rPr>
          <w:sz w:val="24"/>
          <w:szCs w:val="24"/>
        </w:rPr>
        <w:t xml:space="preserve">Научный руководитель –преп. </w:t>
      </w:r>
      <w:bookmarkStart w:id="0" w:name="_GoBack"/>
      <w:bookmarkEnd w:id="0"/>
      <w:r>
        <w:rPr>
          <w:sz w:val="24"/>
          <w:szCs w:val="24"/>
        </w:rPr>
        <w:t>Абакарова  Б.Г.</w:t>
      </w:r>
    </w:p>
    <w:p w:rsidR="00A539EC" w:rsidRDefault="00A539EC">
      <w:pPr>
        <w:spacing w:line="365" w:lineRule="exact"/>
        <w:rPr>
          <w:sz w:val="24"/>
          <w:szCs w:val="24"/>
        </w:rPr>
      </w:pPr>
    </w:p>
    <w:p w:rsidR="00A539EC" w:rsidRDefault="00A539EC">
      <w:pPr>
        <w:spacing w:line="365" w:lineRule="exact"/>
        <w:rPr>
          <w:sz w:val="24"/>
          <w:szCs w:val="24"/>
        </w:rPr>
      </w:pPr>
    </w:p>
    <w:p w:rsidR="00566FA8" w:rsidRDefault="0048182F" w:rsidP="0048182F">
      <w:pPr>
        <w:tabs>
          <w:tab w:val="left" w:pos="1760"/>
        </w:tabs>
        <w:rPr>
          <w:rFonts w:eastAsia="Times New Roman"/>
          <w:b/>
          <w:bCs/>
          <w:color w:val="00000A"/>
          <w:sz w:val="24"/>
          <w:szCs w:val="24"/>
        </w:rPr>
      </w:pPr>
      <w:r>
        <w:rPr>
          <w:rFonts w:eastAsia="Times New Roman"/>
          <w:b/>
          <w:bCs/>
          <w:color w:val="00000A"/>
          <w:sz w:val="24"/>
          <w:szCs w:val="24"/>
        </w:rPr>
        <w:t xml:space="preserve">                                                      </w:t>
      </w:r>
      <w:r w:rsidR="00047530">
        <w:rPr>
          <w:rFonts w:eastAsia="Times New Roman"/>
          <w:b/>
          <w:bCs/>
          <w:color w:val="00000A"/>
          <w:sz w:val="24"/>
          <w:szCs w:val="24"/>
        </w:rPr>
        <w:t>Ю</w:t>
      </w:r>
      <w:r w:rsidR="006A0F21">
        <w:rPr>
          <w:rFonts w:eastAsia="Times New Roman"/>
          <w:b/>
          <w:bCs/>
          <w:color w:val="00000A"/>
          <w:sz w:val="24"/>
          <w:szCs w:val="24"/>
        </w:rPr>
        <w:t>ридическ</w:t>
      </w:r>
      <w:r>
        <w:rPr>
          <w:rFonts w:eastAsia="Times New Roman"/>
          <w:b/>
          <w:bCs/>
          <w:color w:val="00000A"/>
          <w:sz w:val="24"/>
          <w:szCs w:val="24"/>
        </w:rPr>
        <w:t>ая ответственность</w:t>
      </w:r>
    </w:p>
    <w:p w:rsidR="00566FA8" w:rsidRDefault="00566FA8">
      <w:pPr>
        <w:spacing w:line="40" w:lineRule="exact"/>
        <w:rPr>
          <w:rFonts w:eastAsia="Times New Roman"/>
          <w:b/>
          <w:bCs/>
          <w:color w:val="00000A"/>
          <w:sz w:val="24"/>
          <w:szCs w:val="24"/>
        </w:rPr>
      </w:pPr>
    </w:p>
    <w:p w:rsidR="00566FA8" w:rsidRDefault="006A0F21">
      <w:pPr>
        <w:numPr>
          <w:ilvl w:val="1"/>
          <w:numId w:val="2"/>
        </w:numPr>
        <w:tabs>
          <w:tab w:val="left" w:pos="3060"/>
        </w:tabs>
        <w:ind w:left="3060" w:hanging="193"/>
        <w:rPr>
          <w:rFonts w:eastAsia="Times New Roman"/>
          <w:b/>
          <w:bCs/>
          <w:color w:val="00000A"/>
          <w:sz w:val="24"/>
          <w:szCs w:val="24"/>
        </w:rPr>
      </w:pPr>
      <w:r>
        <w:rPr>
          <w:rFonts w:eastAsia="Times New Roman"/>
          <w:b/>
          <w:bCs/>
          <w:color w:val="00000A"/>
          <w:sz w:val="24"/>
          <w:szCs w:val="24"/>
        </w:rPr>
        <w:t>сфере охраны окружающей среды</w:t>
      </w:r>
    </w:p>
    <w:p w:rsidR="00566FA8" w:rsidRDefault="00566FA8">
      <w:pPr>
        <w:spacing w:line="282" w:lineRule="exact"/>
        <w:rPr>
          <w:sz w:val="20"/>
          <w:szCs w:val="20"/>
        </w:rPr>
      </w:pPr>
    </w:p>
    <w:p w:rsidR="00566FA8" w:rsidRDefault="006A0F21">
      <w:pPr>
        <w:spacing w:line="274" w:lineRule="auto"/>
        <w:ind w:left="1" w:firstLine="708"/>
        <w:jc w:val="both"/>
        <w:rPr>
          <w:sz w:val="20"/>
          <w:szCs w:val="20"/>
        </w:rPr>
      </w:pPr>
      <w:r>
        <w:rPr>
          <w:rFonts w:eastAsia="Times New Roman"/>
          <w:b/>
          <w:bCs/>
          <w:sz w:val="24"/>
          <w:szCs w:val="24"/>
        </w:rPr>
        <w:t xml:space="preserve">Аннотация. </w:t>
      </w:r>
      <w:r>
        <w:rPr>
          <w:rFonts w:eastAsia="Times New Roman"/>
          <w:sz w:val="24"/>
          <w:szCs w:val="24"/>
        </w:rPr>
        <w:t>Статья посвящена вопросу эффективности концепции позитивной</w:t>
      </w:r>
      <w:r>
        <w:rPr>
          <w:rFonts w:eastAsia="Times New Roman"/>
          <w:b/>
          <w:bCs/>
          <w:sz w:val="24"/>
          <w:szCs w:val="24"/>
        </w:rPr>
        <w:t xml:space="preserve"> </w:t>
      </w:r>
      <w:r>
        <w:rPr>
          <w:rFonts w:eastAsia="Times New Roman"/>
          <w:sz w:val="24"/>
          <w:szCs w:val="24"/>
        </w:rPr>
        <w:t>юридической ответственности в достижении цели охраны окружающей среды и предупреждения экологических правонарушений. Рассматривается соотношение понятий позитивная юридическая ответственность, негативная юридическая ответственность, правомерное поведение, предупреждение экологических правонарушений и др. Делается вывод о целесообразности дальнейшего совершенствования теории правомерного поведения, эколого-правового механизма с акцентом на развитие превентивных инструментов охраны окружающей среды как залога обеспечения правомерного поведения в природоохранной сфере.</w:t>
      </w:r>
    </w:p>
    <w:p w:rsidR="00566FA8" w:rsidRDefault="00566FA8">
      <w:pPr>
        <w:spacing w:line="21" w:lineRule="exact"/>
        <w:rPr>
          <w:sz w:val="20"/>
          <w:szCs w:val="20"/>
        </w:rPr>
      </w:pPr>
    </w:p>
    <w:p w:rsidR="00566FA8" w:rsidRDefault="006A0F21">
      <w:pPr>
        <w:spacing w:line="264" w:lineRule="auto"/>
        <w:ind w:left="1" w:firstLine="708"/>
        <w:jc w:val="both"/>
        <w:rPr>
          <w:sz w:val="20"/>
          <w:szCs w:val="20"/>
        </w:rPr>
      </w:pPr>
      <w:r>
        <w:rPr>
          <w:rFonts w:eastAsia="Times New Roman"/>
          <w:b/>
          <w:bCs/>
          <w:sz w:val="24"/>
          <w:szCs w:val="24"/>
        </w:rPr>
        <w:t xml:space="preserve">Ключевые слова: </w:t>
      </w:r>
      <w:r>
        <w:rPr>
          <w:rFonts w:eastAsia="Times New Roman"/>
          <w:sz w:val="24"/>
          <w:szCs w:val="24"/>
        </w:rPr>
        <w:t>позитивная юридическая ответственность,</w:t>
      </w:r>
      <w:r>
        <w:rPr>
          <w:rFonts w:eastAsia="Times New Roman"/>
          <w:b/>
          <w:bCs/>
          <w:sz w:val="24"/>
          <w:szCs w:val="24"/>
        </w:rPr>
        <w:t xml:space="preserve"> </w:t>
      </w:r>
      <w:r>
        <w:rPr>
          <w:rFonts w:eastAsia="Times New Roman"/>
          <w:sz w:val="24"/>
          <w:szCs w:val="24"/>
        </w:rPr>
        <w:t>правомерное поведение,</w:t>
      </w:r>
      <w:r>
        <w:rPr>
          <w:rFonts w:eastAsia="Times New Roman"/>
          <w:b/>
          <w:bCs/>
          <w:sz w:val="24"/>
          <w:szCs w:val="24"/>
        </w:rPr>
        <w:t xml:space="preserve"> </w:t>
      </w:r>
      <w:r>
        <w:rPr>
          <w:rFonts w:eastAsia="Times New Roman"/>
          <w:sz w:val="24"/>
          <w:szCs w:val="24"/>
        </w:rPr>
        <w:t>предупреждение экологических правонарушений, эколого-правовой механизм</w:t>
      </w:r>
    </w:p>
    <w:p w:rsidR="00566FA8" w:rsidRDefault="00566FA8">
      <w:pPr>
        <w:spacing w:line="339" w:lineRule="exact"/>
        <w:rPr>
          <w:sz w:val="20"/>
          <w:szCs w:val="20"/>
        </w:rPr>
      </w:pPr>
    </w:p>
    <w:p w:rsidR="00566FA8" w:rsidRDefault="006A0F21">
      <w:pPr>
        <w:jc w:val="center"/>
        <w:rPr>
          <w:sz w:val="20"/>
          <w:szCs w:val="20"/>
        </w:rPr>
      </w:pPr>
      <w:r>
        <w:rPr>
          <w:rFonts w:eastAsia="Times New Roman"/>
          <w:b/>
          <w:bCs/>
          <w:sz w:val="24"/>
          <w:szCs w:val="24"/>
        </w:rPr>
        <w:t>On the issue of the role of positive legal responsibility</w:t>
      </w:r>
    </w:p>
    <w:p w:rsidR="00566FA8" w:rsidRDefault="00566FA8">
      <w:pPr>
        <w:spacing w:line="41" w:lineRule="exact"/>
        <w:rPr>
          <w:sz w:val="20"/>
          <w:szCs w:val="20"/>
        </w:rPr>
      </w:pPr>
    </w:p>
    <w:p w:rsidR="00566FA8" w:rsidRDefault="006A0F21">
      <w:pPr>
        <w:jc w:val="center"/>
        <w:rPr>
          <w:sz w:val="20"/>
          <w:szCs w:val="20"/>
        </w:rPr>
      </w:pPr>
      <w:r>
        <w:rPr>
          <w:rFonts w:eastAsia="Times New Roman"/>
          <w:b/>
          <w:bCs/>
          <w:sz w:val="24"/>
          <w:szCs w:val="24"/>
        </w:rPr>
        <w:t>for environmental protection</w:t>
      </w:r>
    </w:p>
    <w:p w:rsidR="00566FA8" w:rsidRDefault="00566FA8">
      <w:pPr>
        <w:spacing w:line="365" w:lineRule="exact"/>
        <w:rPr>
          <w:sz w:val="20"/>
          <w:szCs w:val="20"/>
        </w:rPr>
      </w:pPr>
    </w:p>
    <w:p w:rsidR="00566FA8" w:rsidRDefault="006A0F21">
      <w:pPr>
        <w:spacing w:line="266" w:lineRule="auto"/>
        <w:ind w:left="1" w:firstLine="708"/>
        <w:jc w:val="both"/>
        <w:rPr>
          <w:sz w:val="20"/>
          <w:szCs w:val="20"/>
        </w:rPr>
      </w:pPr>
      <w:r>
        <w:rPr>
          <w:rFonts w:eastAsia="Times New Roman"/>
          <w:sz w:val="24"/>
          <w:szCs w:val="24"/>
        </w:rPr>
        <w:t>Matveeva Elena, adviser of Committee of natural resources, property and land relation of State Duma, сandidate of legal sciences</w:t>
      </w:r>
    </w:p>
    <w:p w:rsidR="00566FA8" w:rsidRDefault="00566FA8">
      <w:pPr>
        <w:spacing w:line="341" w:lineRule="exact"/>
        <w:rPr>
          <w:sz w:val="20"/>
          <w:szCs w:val="20"/>
        </w:rPr>
      </w:pPr>
    </w:p>
    <w:p w:rsidR="00566FA8" w:rsidRDefault="006A0F21">
      <w:pPr>
        <w:spacing w:line="274" w:lineRule="auto"/>
        <w:ind w:left="1" w:firstLine="708"/>
        <w:jc w:val="both"/>
        <w:rPr>
          <w:sz w:val="20"/>
          <w:szCs w:val="20"/>
        </w:rPr>
      </w:pPr>
      <w:r>
        <w:rPr>
          <w:rFonts w:eastAsia="Times New Roman"/>
          <w:b/>
          <w:bCs/>
          <w:color w:val="00000A"/>
          <w:sz w:val="24"/>
          <w:szCs w:val="24"/>
        </w:rPr>
        <w:t xml:space="preserve">Summary. </w:t>
      </w:r>
      <w:r>
        <w:rPr>
          <w:rFonts w:eastAsia="Times New Roman"/>
          <w:color w:val="000000"/>
          <w:sz w:val="24"/>
          <w:szCs w:val="24"/>
        </w:rPr>
        <w:t>The article is devoted to the issue of the effectiveness of the concept of positive</w:t>
      </w:r>
      <w:r>
        <w:rPr>
          <w:rFonts w:eastAsia="Times New Roman"/>
          <w:b/>
          <w:bCs/>
          <w:color w:val="00000A"/>
          <w:sz w:val="24"/>
          <w:szCs w:val="24"/>
        </w:rPr>
        <w:t xml:space="preserve"> </w:t>
      </w:r>
      <w:r>
        <w:rPr>
          <w:rFonts w:eastAsia="Times New Roman"/>
          <w:color w:val="000000"/>
          <w:sz w:val="24"/>
          <w:szCs w:val="24"/>
        </w:rPr>
        <w:t>legal responsibility for achieving the goal of environmental protection and the prevention of environmental violations. The relationship between the concepts of positive legal responsibility, negative legal responsibility, lawful behavior, prevention of environmental offenses, etc. is considered. It is concluded that it is advisable to further improve the environmental legal mechanism with an emphasis on the development of preventive environmental protection tools as a guarantee of ensuring lawful behavior in environmental protection.</w:t>
      </w:r>
    </w:p>
    <w:p w:rsidR="00566FA8" w:rsidRDefault="00566FA8">
      <w:pPr>
        <w:spacing w:line="17" w:lineRule="exact"/>
        <w:rPr>
          <w:sz w:val="20"/>
          <w:szCs w:val="20"/>
        </w:rPr>
      </w:pPr>
    </w:p>
    <w:p w:rsidR="00566FA8" w:rsidRDefault="006A0F21">
      <w:pPr>
        <w:spacing w:line="264" w:lineRule="auto"/>
        <w:ind w:left="1" w:firstLine="708"/>
        <w:jc w:val="both"/>
        <w:rPr>
          <w:sz w:val="20"/>
          <w:szCs w:val="20"/>
        </w:rPr>
      </w:pPr>
      <w:r>
        <w:rPr>
          <w:rFonts w:eastAsia="Times New Roman"/>
          <w:b/>
          <w:bCs/>
          <w:sz w:val="24"/>
          <w:szCs w:val="24"/>
        </w:rPr>
        <w:t xml:space="preserve">Keywords: </w:t>
      </w:r>
      <w:r>
        <w:rPr>
          <w:rFonts w:eastAsia="Times New Roman"/>
          <w:sz w:val="24"/>
          <w:szCs w:val="24"/>
        </w:rPr>
        <w:t>positive legal responsibility, lawful behavior, prevention of environmental</w:t>
      </w:r>
      <w:r>
        <w:rPr>
          <w:rFonts w:eastAsia="Times New Roman"/>
          <w:b/>
          <w:bCs/>
          <w:sz w:val="24"/>
          <w:szCs w:val="24"/>
        </w:rPr>
        <w:t xml:space="preserve"> </w:t>
      </w:r>
      <w:r>
        <w:rPr>
          <w:rFonts w:eastAsia="Times New Roman"/>
          <w:sz w:val="24"/>
          <w:szCs w:val="24"/>
        </w:rPr>
        <w:t>violations, ecological - legal mechanism</w:t>
      </w:r>
    </w:p>
    <w:p w:rsidR="00566FA8" w:rsidRDefault="00566FA8">
      <w:pPr>
        <w:spacing w:line="24" w:lineRule="exact"/>
        <w:rPr>
          <w:rFonts w:eastAsia="Times New Roman"/>
          <w:sz w:val="24"/>
          <w:szCs w:val="24"/>
        </w:rPr>
      </w:pPr>
    </w:p>
    <w:p w:rsidR="0048182F" w:rsidRDefault="0048182F" w:rsidP="0048182F">
      <w:pPr>
        <w:numPr>
          <w:ilvl w:val="1"/>
          <w:numId w:val="3"/>
        </w:numPr>
        <w:tabs>
          <w:tab w:val="left" w:pos="1376"/>
        </w:tabs>
        <w:spacing w:line="273" w:lineRule="auto"/>
        <w:ind w:left="1" w:firstLine="865"/>
        <w:jc w:val="both"/>
        <w:rPr>
          <w:rFonts w:eastAsia="Times New Roman"/>
          <w:sz w:val="24"/>
          <w:szCs w:val="24"/>
        </w:rPr>
      </w:pPr>
      <w:r>
        <w:rPr>
          <w:rFonts w:eastAsia="Times New Roman"/>
          <w:sz w:val="24"/>
          <w:szCs w:val="24"/>
        </w:rPr>
        <w:t xml:space="preserve">настоящее время , охрана окружающей среды является очень актуальной темой, не только в сфере экологического права , но и в международном аспекте. Защита окружащей природной среды, на сегодня явлется важной темой дисскуссий  во всем мире.  К сожалению, число нарушений , связанных с экологией , велико , и поэтому  </w:t>
      </w:r>
      <w:r w:rsidR="006A0F21" w:rsidRPr="0048182F">
        <w:rPr>
          <w:rFonts w:eastAsia="Times New Roman"/>
          <w:sz w:val="24"/>
          <w:szCs w:val="24"/>
        </w:rPr>
        <w:t xml:space="preserve">предотвращение экологических правонарушений является особо оправданной стратегией. </w:t>
      </w:r>
    </w:p>
    <w:p w:rsidR="00566FA8" w:rsidRPr="0048182F" w:rsidRDefault="0048182F" w:rsidP="0048182F">
      <w:pPr>
        <w:tabs>
          <w:tab w:val="left" w:pos="1376"/>
        </w:tabs>
        <w:spacing w:line="273" w:lineRule="auto"/>
        <w:ind w:left="1"/>
        <w:jc w:val="both"/>
        <w:rPr>
          <w:rFonts w:eastAsia="Times New Roman"/>
          <w:sz w:val="24"/>
          <w:szCs w:val="24"/>
        </w:rPr>
      </w:pPr>
      <w:r>
        <w:rPr>
          <w:rFonts w:eastAsia="Times New Roman"/>
          <w:sz w:val="24"/>
          <w:szCs w:val="24"/>
        </w:rPr>
        <w:t xml:space="preserve">Прежде чем чтио-либо говорить , хочется начать с </w:t>
      </w:r>
      <w:r w:rsidR="006A0F21" w:rsidRPr="0048182F">
        <w:rPr>
          <w:rFonts w:eastAsia="Times New Roman"/>
          <w:sz w:val="24"/>
          <w:szCs w:val="24"/>
        </w:rPr>
        <w:t>того, что обеспечение благоприятной окружающей среды неразрывно связано с гарантией права каждого из нас на здоровье [4</w:t>
      </w:r>
      <w:r w:rsidR="006A0F21" w:rsidRPr="0048182F">
        <w:rPr>
          <w:rFonts w:eastAsia="Times New Roman"/>
          <w:b/>
          <w:bCs/>
          <w:sz w:val="24"/>
          <w:szCs w:val="24"/>
        </w:rPr>
        <w:t>]</w:t>
      </w:r>
      <w:r w:rsidR="006A0F21" w:rsidRPr="0048182F">
        <w:rPr>
          <w:rFonts w:eastAsia="Times New Roman"/>
          <w:sz w:val="24"/>
          <w:szCs w:val="24"/>
        </w:rPr>
        <w:t xml:space="preserve">. Также именно в сфере охраны окружающей среды есть такой специфический субъект прав как </w:t>
      </w:r>
      <w:r w:rsidR="006A0F21" w:rsidRPr="0048182F">
        <w:rPr>
          <w:rFonts w:eastAsia="Times New Roman"/>
          <w:sz w:val="24"/>
          <w:szCs w:val="24"/>
        </w:rPr>
        <w:lastRenderedPageBreak/>
        <w:t>«будущие поколения» [5]</w:t>
      </w:r>
      <w:r w:rsidR="006A0F21" w:rsidRPr="0048182F">
        <w:rPr>
          <w:rFonts w:eastAsia="Times New Roman"/>
          <w:b/>
          <w:bCs/>
          <w:sz w:val="24"/>
          <w:szCs w:val="24"/>
        </w:rPr>
        <w:t>,</w:t>
      </w:r>
      <w:r w:rsidR="006A0F21" w:rsidRPr="0048182F">
        <w:rPr>
          <w:rFonts w:eastAsia="Times New Roman"/>
          <w:sz w:val="24"/>
          <w:szCs w:val="24"/>
        </w:rPr>
        <w:t xml:space="preserve"> что детерминирует сильнейший публичный интерес в этой сфере [6]</w:t>
      </w:r>
      <w:r w:rsidR="006A0F21" w:rsidRPr="0048182F">
        <w:rPr>
          <w:rFonts w:eastAsia="Times New Roman"/>
          <w:b/>
          <w:bCs/>
          <w:sz w:val="24"/>
          <w:szCs w:val="24"/>
        </w:rPr>
        <w:t>.</w:t>
      </w:r>
    </w:p>
    <w:p w:rsidR="00566FA8" w:rsidRDefault="0048182F">
      <w:pPr>
        <w:spacing w:line="272" w:lineRule="auto"/>
        <w:ind w:firstLine="926"/>
        <w:jc w:val="both"/>
        <w:rPr>
          <w:sz w:val="20"/>
          <w:szCs w:val="20"/>
        </w:rPr>
      </w:pPr>
      <w:r>
        <w:rPr>
          <w:rFonts w:eastAsia="Times New Roman"/>
          <w:sz w:val="24"/>
          <w:szCs w:val="24"/>
        </w:rPr>
        <w:t xml:space="preserve">Колоссальный в своем понимании ущерб </w:t>
      </w:r>
      <w:r w:rsidR="006A0F21">
        <w:rPr>
          <w:rFonts w:eastAsia="Times New Roman"/>
          <w:sz w:val="24"/>
          <w:szCs w:val="24"/>
        </w:rPr>
        <w:t xml:space="preserve">, который наносится окружающей среде, настолько масштабен и трудно компенсируем, что практически ни с чем не сравним. Не говоря о крайне высоком стоимостном выражении затрат на восстановление благоприятного состояния окружающей среды в результате экологических правонарушений </w:t>
      </w:r>
      <w:r w:rsidR="006A0F21">
        <w:rPr>
          <w:rFonts w:eastAsia="Times New Roman"/>
          <w:b/>
          <w:bCs/>
          <w:sz w:val="24"/>
          <w:szCs w:val="24"/>
        </w:rPr>
        <w:t>[7].</w:t>
      </w:r>
    </w:p>
    <w:p w:rsidR="00566FA8" w:rsidRDefault="00566FA8">
      <w:pPr>
        <w:spacing w:line="19" w:lineRule="exact"/>
        <w:rPr>
          <w:sz w:val="20"/>
          <w:szCs w:val="20"/>
        </w:rPr>
      </w:pPr>
    </w:p>
    <w:p w:rsidR="00566FA8" w:rsidRDefault="006A0F21">
      <w:pPr>
        <w:spacing w:line="270" w:lineRule="auto"/>
        <w:ind w:right="20" w:firstLine="866"/>
        <w:jc w:val="both"/>
        <w:rPr>
          <w:sz w:val="20"/>
          <w:szCs w:val="20"/>
        </w:rPr>
      </w:pPr>
      <w:r>
        <w:rPr>
          <w:rFonts w:eastAsia="Times New Roman"/>
          <w:sz w:val="24"/>
          <w:szCs w:val="24"/>
        </w:rPr>
        <w:t>Очевидно, что направив силы на превенцию экологических правонарушений, всего вышеперечисленного можно было бы избежать. Тут, касалось бы, должна вступить в свои права концепция позитивной юридической ответственности.</w:t>
      </w:r>
    </w:p>
    <w:p w:rsidR="00566FA8" w:rsidRDefault="00566FA8">
      <w:pPr>
        <w:spacing w:line="19" w:lineRule="exact"/>
        <w:rPr>
          <w:sz w:val="20"/>
          <w:szCs w:val="20"/>
        </w:rPr>
      </w:pPr>
    </w:p>
    <w:p w:rsidR="00566FA8" w:rsidRDefault="006A0F21">
      <w:pPr>
        <w:numPr>
          <w:ilvl w:val="0"/>
          <w:numId w:val="4"/>
        </w:numPr>
        <w:tabs>
          <w:tab w:val="left" w:pos="991"/>
        </w:tabs>
        <w:spacing w:line="272" w:lineRule="auto"/>
        <w:ind w:firstLine="565"/>
        <w:jc w:val="both"/>
        <w:rPr>
          <w:rFonts w:eastAsia="Times New Roman"/>
          <w:sz w:val="24"/>
          <w:szCs w:val="24"/>
        </w:rPr>
      </w:pPr>
      <w:r>
        <w:rPr>
          <w:rFonts w:eastAsia="Times New Roman"/>
          <w:sz w:val="24"/>
          <w:szCs w:val="24"/>
        </w:rPr>
        <w:t>науке стали рассматривать юридическую ответственность не только в ретроспективном (негативном) направлении, но и перспективном (позитивном) еще в 60-е года XX века. Особенно концепция позитивной юридической ответственности получила развитие в работах ученых-криминалистов [8]</w:t>
      </w:r>
      <w:r>
        <w:rPr>
          <w:rFonts w:eastAsia="Times New Roman"/>
          <w:b/>
          <w:bCs/>
          <w:sz w:val="24"/>
          <w:szCs w:val="24"/>
        </w:rPr>
        <w:t>.</w:t>
      </w:r>
    </w:p>
    <w:p w:rsidR="00566FA8" w:rsidRDefault="00566FA8">
      <w:pPr>
        <w:spacing w:line="19" w:lineRule="exact"/>
        <w:rPr>
          <w:rFonts w:eastAsia="Times New Roman"/>
          <w:sz w:val="24"/>
          <w:szCs w:val="24"/>
        </w:rPr>
      </w:pPr>
    </w:p>
    <w:p w:rsidR="00566FA8" w:rsidRDefault="00566FA8">
      <w:pPr>
        <w:spacing w:line="19" w:lineRule="exact"/>
        <w:rPr>
          <w:rFonts w:eastAsia="Times New Roman"/>
          <w:sz w:val="24"/>
          <w:szCs w:val="24"/>
        </w:rPr>
      </w:pPr>
    </w:p>
    <w:p w:rsidR="00566FA8" w:rsidRDefault="0048182F">
      <w:pPr>
        <w:spacing w:line="273" w:lineRule="auto"/>
        <w:ind w:firstLine="866"/>
        <w:jc w:val="both"/>
        <w:rPr>
          <w:rFonts w:eastAsia="Times New Roman"/>
          <w:sz w:val="24"/>
          <w:szCs w:val="24"/>
        </w:rPr>
      </w:pPr>
      <w:r>
        <w:rPr>
          <w:rFonts w:eastAsia="Times New Roman"/>
          <w:sz w:val="24"/>
          <w:szCs w:val="24"/>
        </w:rPr>
        <w:t xml:space="preserve">В </w:t>
      </w:r>
      <w:r w:rsidR="006A0F21">
        <w:rPr>
          <w:rFonts w:eastAsia="Times New Roman"/>
          <w:sz w:val="24"/>
          <w:szCs w:val="24"/>
        </w:rPr>
        <w:t xml:space="preserve"> основе юридической ответственность лежит необходимость субъекта отвечать за свои поступки. Только в случае с позитивной юридической ответственностью субъект отвечает добровольно, в случае негативной ответственности – принудительно, в первом случае – ответственность за выполнение норм закона, во втором – их нарушение [10]</w:t>
      </w:r>
      <w:r w:rsidR="006A0F21">
        <w:rPr>
          <w:rFonts w:eastAsia="Times New Roman"/>
          <w:b/>
          <w:bCs/>
          <w:sz w:val="24"/>
          <w:szCs w:val="24"/>
        </w:rPr>
        <w:t>.</w:t>
      </w:r>
      <w:r w:rsidR="006A0F21">
        <w:rPr>
          <w:rFonts w:eastAsia="Times New Roman"/>
          <w:sz w:val="24"/>
          <w:szCs w:val="24"/>
        </w:rPr>
        <w:t xml:space="preserve"> Само правонарушение выступает в роли разделителя двух сторон одного явления.</w:t>
      </w:r>
    </w:p>
    <w:p w:rsidR="00566FA8" w:rsidRDefault="00566FA8">
      <w:pPr>
        <w:spacing w:line="20" w:lineRule="exact"/>
        <w:rPr>
          <w:rFonts w:eastAsia="Times New Roman"/>
          <w:sz w:val="24"/>
          <w:szCs w:val="24"/>
        </w:rPr>
      </w:pPr>
    </w:p>
    <w:p w:rsidR="00566FA8" w:rsidRDefault="0048182F">
      <w:pPr>
        <w:spacing w:line="273" w:lineRule="auto"/>
        <w:ind w:firstLine="866"/>
        <w:jc w:val="both"/>
        <w:rPr>
          <w:rFonts w:eastAsia="Times New Roman"/>
          <w:sz w:val="24"/>
          <w:szCs w:val="24"/>
        </w:rPr>
      </w:pPr>
      <w:r>
        <w:rPr>
          <w:rFonts w:eastAsia="Times New Roman"/>
          <w:sz w:val="24"/>
          <w:szCs w:val="24"/>
        </w:rPr>
        <w:t xml:space="preserve">Но в таком случае возникает вопрос </w:t>
      </w:r>
      <w:r w:rsidR="006A0F21">
        <w:rPr>
          <w:rFonts w:eastAsia="Times New Roman"/>
          <w:sz w:val="24"/>
          <w:szCs w:val="24"/>
        </w:rPr>
        <w:t xml:space="preserve">, всегда ли добровольность является признаком позитивной юридической ответственности? </w:t>
      </w:r>
      <w:r>
        <w:rPr>
          <w:rFonts w:eastAsia="Times New Roman"/>
          <w:sz w:val="24"/>
          <w:szCs w:val="24"/>
        </w:rPr>
        <w:t>И т</w:t>
      </w:r>
      <w:r w:rsidR="006A0F21">
        <w:rPr>
          <w:rFonts w:eastAsia="Times New Roman"/>
          <w:sz w:val="24"/>
          <w:szCs w:val="24"/>
        </w:rPr>
        <w:t xml:space="preserve">огда как быть в случае, если правонарушение совершено, но надзорные органы его не выявили, а правонарушитель самостоятельно решил сообщить </w:t>
      </w:r>
      <w:r>
        <w:rPr>
          <w:rFonts w:eastAsia="Times New Roman"/>
          <w:sz w:val="24"/>
          <w:szCs w:val="24"/>
        </w:rPr>
        <w:t>и восстановить нарушенные права ?</w:t>
      </w:r>
      <w:r w:rsidR="006A0F21">
        <w:rPr>
          <w:rFonts w:eastAsia="Times New Roman"/>
          <w:sz w:val="24"/>
          <w:szCs w:val="24"/>
        </w:rPr>
        <w:t xml:space="preserve"> </w:t>
      </w:r>
      <w:r>
        <w:rPr>
          <w:rFonts w:eastAsia="Times New Roman"/>
          <w:sz w:val="24"/>
          <w:szCs w:val="24"/>
        </w:rPr>
        <w:t xml:space="preserve">Выходит ,  так что </w:t>
      </w:r>
      <w:r w:rsidR="006A0F21">
        <w:rPr>
          <w:rFonts w:eastAsia="Times New Roman"/>
          <w:sz w:val="24"/>
          <w:szCs w:val="24"/>
        </w:rPr>
        <w:t xml:space="preserve">элемент добровольности присутствует, но ответственность все равно негативная </w:t>
      </w:r>
      <w:r>
        <w:rPr>
          <w:rFonts w:eastAsia="Times New Roman"/>
          <w:sz w:val="24"/>
          <w:szCs w:val="24"/>
        </w:rPr>
        <w:t>?</w:t>
      </w:r>
    </w:p>
    <w:p w:rsidR="00566FA8" w:rsidRDefault="00566FA8">
      <w:pPr>
        <w:spacing w:line="16" w:lineRule="exact"/>
        <w:rPr>
          <w:rFonts w:eastAsia="Times New Roman"/>
          <w:sz w:val="24"/>
          <w:szCs w:val="24"/>
        </w:rPr>
      </w:pPr>
    </w:p>
    <w:p w:rsidR="00566FA8" w:rsidRDefault="0048182F" w:rsidP="0048182F">
      <w:pPr>
        <w:spacing w:line="272" w:lineRule="auto"/>
        <w:ind w:firstLine="866"/>
        <w:jc w:val="both"/>
        <w:rPr>
          <w:rFonts w:eastAsia="Times New Roman"/>
          <w:sz w:val="24"/>
          <w:szCs w:val="24"/>
        </w:rPr>
      </w:pPr>
      <w:r>
        <w:rPr>
          <w:rFonts w:eastAsia="Times New Roman"/>
          <w:sz w:val="24"/>
          <w:szCs w:val="24"/>
        </w:rPr>
        <w:t xml:space="preserve">Вообще , </w:t>
      </w:r>
      <w:r w:rsidR="006A0F21">
        <w:rPr>
          <w:rFonts w:eastAsia="Times New Roman"/>
          <w:sz w:val="24"/>
          <w:szCs w:val="24"/>
        </w:rPr>
        <w:t xml:space="preserve"> позитивная ответственность предполагает высокий уровень сознания, чувства долга, что скорее относит нас в область морали и нравственности. Полагаем, что мотивы, лежащие в основе правомерного экологического поведения, не должны становиться ключевыми в деле охраны окружаю</w:t>
      </w:r>
      <w:r>
        <w:rPr>
          <w:rFonts w:eastAsia="Times New Roman"/>
          <w:sz w:val="24"/>
          <w:szCs w:val="24"/>
        </w:rPr>
        <w:t>щей среды  и ч</w:t>
      </w:r>
      <w:r w:rsidR="006A0F21">
        <w:rPr>
          <w:rFonts w:eastAsia="Times New Roman"/>
          <w:sz w:val="24"/>
          <w:szCs w:val="24"/>
        </w:rPr>
        <w:t>тобы  обеспечить  высокий  уровень  экологического  сознания  как  одного  из</w:t>
      </w:r>
      <w:r>
        <w:rPr>
          <w:rFonts w:eastAsia="Times New Roman"/>
          <w:sz w:val="24"/>
          <w:szCs w:val="24"/>
        </w:rPr>
        <w:t xml:space="preserve"> </w:t>
      </w:r>
      <w:r w:rsidR="006A0F21">
        <w:rPr>
          <w:rFonts w:eastAsia="Times New Roman"/>
          <w:sz w:val="24"/>
          <w:szCs w:val="24"/>
        </w:rPr>
        <w:t>признаков позитивной юридической ответственности нужно использовать корреспондирующие этой цели правовые средства – экологическое воспитание, образование, просвещение, поощрения [11, 96]</w:t>
      </w:r>
      <w:r w:rsidR="006A0F21">
        <w:rPr>
          <w:rFonts w:eastAsia="Times New Roman"/>
          <w:i/>
          <w:iCs/>
          <w:sz w:val="24"/>
          <w:szCs w:val="24"/>
        </w:rPr>
        <w:t>.</w:t>
      </w:r>
    </w:p>
    <w:p w:rsidR="00566FA8" w:rsidRDefault="00566FA8">
      <w:pPr>
        <w:spacing w:line="17" w:lineRule="exact"/>
        <w:rPr>
          <w:rFonts w:eastAsia="Times New Roman"/>
          <w:sz w:val="24"/>
          <w:szCs w:val="24"/>
        </w:rPr>
      </w:pPr>
    </w:p>
    <w:p w:rsidR="00566FA8" w:rsidRDefault="006A0F21">
      <w:pPr>
        <w:spacing w:line="271" w:lineRule="auto"/>
        <w:ind w:firstLine="926"/>
        <w:jc w:val="both"/>
        <w:rPr>
          <w:rFonts w:eastAsia="Times New Roman"/>
          <w:sz w:val="24"/>
          <w:szCs w:val="24"/>
        </w:rPr>
      </w:pPr>
      <w:r>
        <w:rPr>
          <w:rFonts w:eastAsia="Times New Roman"/>
          <w:sz w:val="24"/>
          <w:szCs w:val="24"/>
        </w:rPr>
        <w:t>Следовательно, за рамками остается большая часть правового инструментария, который позволил бы обеспечивать недопущение совершения экологических правонарушений и высвечивается в основном моральная сторона вопроса.</w:t>
      </w:r>
    </w:p>
    <w:p w:rsidR="00566FA8" w:rsidRDefault="00566FA8">
      <w:pPr>
        <w:spacing w:line="17" w:lineRule="exact"/>
        <w:rPr>
          <w:rFonts w:eastAsia="Times New Roman"/>
          <w:sz w:val="24"/>
          <w:szCs w:val="24"/>
        </w:rPr>
      </w:pPr>
    </w:p>
    <w:p w:rsidR="00566FA8" w:rsidRDefault="006A0F21">
      <w:pPr>
        <w:numPr>
          <w:ilvl w:val="1"/>
          <w:numId w:val="4"/>
        </w:numPr>
        <w:tabs>
          <w:tab w:val="left" w:pos="1375"/>
        </w:tabs>
        <w:spacing w:line="272" w:lineRule="auto"/>
        <w:ind w:firstLine="865"/>
        <w:jc w:val="both"/>
        <w:rPr>
          <w:rFonts w:eastAsia="Times New Roman"/>
          <w:sz w:val="24"/>
          <w:szCs w:val="24"/>
        </w:rPr>
      </w:pPr>
      <w:r>
        <w:rPr>
          <w:rFonts w:eastAsia="Times New Roman"/>
          <w:sz w:val="24"/>
          <w:szCs w:val="24"/>
        </w:rPr>
        <w:t>этой связи практическая целесообразность концепции позитивной ответственности меркнет по сравнению с уже хорошо зарекомендовавшими себя категориями «правомерное поведение», «меры обеспечения правомерного поведения», «предупреждение экологических правонарушений».</w:t>
      </w:r>
    </w:p>
    <w:p w:rsidR="00566FA8" w:rsidRDefault="00566FA8">
      <w:pPr>
        <w:spacing w:line="18" w:lineRule="exact"/>
        <w:rPr>
          <w:rFonts w:eastAsia="Times New Roman"/>
          <w:sz w:val="24"/>
          <w:szCs w:val="24"/>
        </w:rPr>
      </w:pPr>
    </w:p>
    <w:p w:rsidR="00566FA8" w:rsidRDefault="006A0F21">
      <w:pPr>
        <w:numPr>
          <w:ilvl w:val="0"/>
          <w:numId w:val="4"/>
        </w:numPr>
        <w:tabs>
          <w:tab w:val="left" w:pos="799"/>
        </w:tabs>
        <w:spacing w:line="270" w:lineRule="auto"/>
        <w:ind w:firstLine="565"/>
        <w:jc w:val="both"/>
        <w:rPr>
          <w:rFonts w:eastAsia="Times New Roman"/>
          <w:sz w:val="24"/>
          <w:szCs w:val="24"/>
        </w:rPr>
      </w:pPr>
      <w:r>
        <w:rPr>
          <w:rFonts w:eastAsia="Times New Roman"/>
          <w:sz w:val="24"/>
          <w:szCs w:val="24"/>
        </w:rPr>
        <w:t>поиске должного инструментария для достижения целей охраны окружающей среды на помощь придет теория эколого-правового механизма, в рамках которой исследованы вопросы цели и правовых средств (инструментов) ее достижения в природоохранной сфере.</w:t>
      </w:r>
    </w:p>
    <w:p w:rsidR="00566FA8" w:rsidRDefault="00566FA8">
      <w:pPr>
        <w:spacing w:line="282" w:lineRule="exact"/>
        <w:rPr>
          <w:sz w:val="20"/>
          <w:szCs w:val="20"/>
        </w:rPr>
      </w:pPr>
    </w:p>
    <w:p w:rsidR="00566FA8" w:rsidRDefault="006A0F21">
      <w:pPr>
        <w:spacing w:line="273" w:lineRule="auto"/>
        <w:ind w:firstLine="566"/>
        <w:jc w:val="both"/>
        <w:rPr>
          <w:sz w:val="20"/>
          <w:szCs w:val="20"/>
        </w:rPr>
      </w:pPr>
      <w:r>
        <w:rPr>
          <w:rFonts w:eastAsia="Times New Roman"/>
          <w:sz w:val="24"/>
          <w:szCs w:val="24"/>
        </w:rPr>
        <w:t>Идея выделения категории «правовой механизм» в области охраны окружающей среды (эколого-правовой механизм) впервые была высказана профессором В.В. Петровым, который определил эколого-правовой механизм как «самостоятельный институт российского экологического права», который «находит свое проявление в системе эколого-правовых норм и экологических правоотношений, направленных на выполнение закрепленного в законе экологического императива» [12, 161]</w:t>
      </w:r>
      <w:r>
        <w:rPr>
          <w:rFonts w:eastAsia="Times New Roman"/>
          <w:b/>
          <w:bCs/>
          <w:sz w:val="24"/>
          <w:szCs w:val="24"/>
        </w:rPr>
        <w:t>.</w:t>
      </w:r>
    </w:p>
    <w:p w:rsidR="00566FA8" w:rsidRDefault="00566FA8">
      <w:pPr>
        <w:spacing w:line="20" w:lineRule="exact"/>
        <w:rPr>
          <w:sz w:val="20"/>
          <w:szCs w:val="20"/>
        </w:rPr>
      </w:pPr>
    </w:p>
    <w:p w:rsidR="00566FA8" w:rsidRDefault="006A0F21">
      <w:pPr>
        <w:spacing w:line="271" w:lineRule="auto"/>
        <w:ind w:firstLine="866"/>
        <w:jc w:val="both"/>
        <w:rPr>
          <w:sz w:val="20"/>
          <w:szCs w:val="20"/>
        </w:rPr>
      </w:pPr>
      <w:r>
        <w:rPr>
          <w:rFonts w:eastAsia="Times New Roman"/>
          <w:sz w:val="24"/>
          <w:szCs w:val="24"/>
        </w:rPr>
        <w:lastRenderedPageBreak/>
        <w:t>Традиционно выделяют компоненты эколого-правового механизма: экономический, организационный, идеологический, юридический механизмы, каждый из которых имеет в своем арсенале определенный набор инструментов</w:t>
      </w:r>
      <w:r>
        <w:rPr>
          <w:rFonts w:eastAsia="Times New Roman"/>
          <w:b/>
          <w:bCs/>
          <w:sz w:val="24"/>
          <w:szCs w:val="24"/>
        </w:rPr>
        <w:t>.</w:t>
      </w:r>
    </w:p>
    <w:p w:rsidR="00566FA8" w:rsidRDefault="00566FA8">
      <w:pPr>
        <w:spacing w:line="18" w:lineRule="exact"/>
        <w:rPr>
          <w:sz w:val="20"/>
          <w:szCs w:val="20"/>
        </w:rPr>
      </w:pPr>
    </w:p>
    <w:p w:rsidR="00566FA8" w:rsidRDefault="006A0F21">
      <w:pPr>
        <w:numPr>
          <w:ilvl w:val="0"/>
          <w:numId w:val="5"/>
        </w:numPr>
        <w:tabs>
          <w:tab w:val="left" w:pos="1092"/>
        </w:tabs>
        <w:spacing w:line="272" w:lineRule="auto"/>
        <w:ind w:firstLine="865"/>
        <w:jc w:val="both"/>
        <w:rPr>
          <w:rFonts w:eastAsia="Times New Roman"/>
          <w:sz w:val="24"/>
          <w:szCs w:val="24"/>
        </w:rPr>
      </w:pPr>
      <w:r>
        <w:rPr>
          <w:rFonts w:eastAsia="Times New Roman"/>
          <w:sz w:val="24"/>
          <w:szCs w:val="24"/>
        </w:rPr>
        <w:t>контексте вопроса предупреждения совершения экологических правонарушений и стимулирования правомерного поведения особое внимание стоит обратить на такие важные природоохранные превентивные инструменты как экологическая экспертиза, оценка воздействия на окружающую среду, на развитие иных инструментов.</w:t>
      </w:r>
    </w:p>
    <w:p w:rsidR="00566FA8" w:rsidRDefault="00566FA8">
      <w:pPr>
        <w:spacing w:line="19" w:lineRule="exact"/>
        <w:rPr>
          <w:rFonts w:eastAsia="Times New Roman"/>
          <w:sz w:val="24"/>
          <w:szCs w:val="24"/>
        </w:rPr>
      </w:pPr>
    </w:p>
    <w:p w:rsidR="00566FA8" w:rsidRDefault="006A0F21">
      <w:pPr>
        <w:spacing w:line="273" w:lineRule="auto"/>
        <w:ind w:firstLine="866"/>
        <w:jc w:val="both"/>
        <w:rPr>
          <w:rFonts w:eastAsia="Times New Roman"/>
          <w:sz w:val="24"/>
          <w:szCs w:val="24"/>
        </w:rPr>
      </w:pPr>
      <w:r>
        <w:rPr>
          <w:rFonts w:eastAsia="Times New Roman"/>
          <w:sz w:val="24"/>
          <w:szCs w:val="24"/>
        </w:rPr>
        <w:t>Так, в российском законодательстве не предусмотрена положительно зарекомендовавшая себя в ряде зарубежных стран стратегическая экологическая оценка, что препятствует формированию в нашей стране целостной системы экологической оценки намечаемой деятельности. Соответствующий законопроект разработан Минприроды России, но пока находится на стадии обсуждения и согласования.</w:t>
      </w:r>
    </w:p>
    <w:p w:rsidR="00566FA8" w:rsidRDefault="00566FA8">
      <w:pPr>
        <w:spacing w:line="326" w:lineRule="exact"/>
        <w:rPr>
          <w:sz w:val="20"/>
          <w:szCs w:val="20"/>
        </w:rPr>
      </w:pPr>
    </w:p>
    <w:p w:rsidR="00566FA8" w:rsidRDefault="006A0F21">
      <w:pPr>
        <w:ind w:left="700"/>
        <w:rPr>
          <w:sz w:val="20"/>
          <w:szCs w:val="20"/>
        </w:rPr>
      </w:pPr>
      <w:r>
        <w:rPr>
          <w:rFonts w:eastAsia="Times New Roman"/>
          <w:b/>
          <w:bCs/>
          <w:sz w:val="24"/>
          <w:szCs w:val="24"/>
        </w:rPr>
        <w:t>Список литературы:</w:t>
      </w:r>
    </w:p>
    <w:p w:rsidR="00566FA8" w:rsidRDefault="00566FA8">
      <w:pPr>
        <w:spacing w:line="367" w:lineRule="exact"/>
        <w:rPr>
          <w:sz w:val="20"/>
          <w:szCs w:val="20"/>
        </w:rPr>
      </w:pPr>
    </w:p>
    <w:p w:rsidR="00566FA8" w:rsidRDefault="006A0F21">
      <w:pPr>
        <w:numPr>
          <w:ilvl w:val="0"/>
          <w:numId w:val="6"/>
        </w:numPr>
        <w:tabs>
          <w:tab w:val="left" w:pos="420"/>
        </w:tabs>
        <w:spacing w:line="273" w:lineRule="auto"/>
        <w:ind w:left="420" w:hanging="354"/>
        <w:jc w:val="both"/>
        <w:rPr>
          <w:rFonts w:eastAsia="Times New Roman"/>
          <w:sz w:val="24"/>
          <w:szCs w:val="24"/>
        </w:rPr>
      </w:pPr>
      <w:r>
        <w:rPr>
          <w:rFonts w:eastAsia="Times New Roman"/>
          <w:sz w:val="24"/>
          <w:szCs w:val="24"/>
        </w:rPr>
        <w:t>Афанасьев В. С. Законность и позитивная юридическая ответственность: проблемы понятия и соотношения // Юрист вуза. 2012. № 5. С. 50-55; Липинский Д.А. Концепции позитивной юридической ответственности в отечественной юриспруденции // Теоретические проблемы российского права и государственности. С. 37-51; Ивакин В.И., Белецкая Р.И. Позитивная юридическая ответственность в области охраны окружающей среды // Вестник Университета имени О.Е.Кутафина. С.93-98 и т.д.</w:t>
      </w:r>
    </w:p>
    <w:p w:rsidR="00566FA8" w:rsidRDefault="00566FA8">
      <w:pPr>
        <w:spacing w:line="20" w:lineRule="exact"/>
        <w:rPr>
          <w:rFonts w:eastAsia="Times New Roman"/>
          <w:sz w:val="24"/>
          <w:szCs w:val="24"/>
        </w:rPr>
      </w:pPr>
    </w:p>
    <w:p w:rsidR="00566FA8" w:rsidRDefault="006A0F21">
      <w:pPr>
        <w:numPr>
          <w:ilvl w:val="0"/>
          <w:numId w:val="6"/>
        </w:numPr>
        <w:tabs>
          <w:tab w:val="left" w:pos="420"/>
        </w:tabs>
        <w:spacing w:line="264" w:lineRule="auto"/>
        <w:ind w:left="420" w:hanging="354"/>
        <w:rPr>
          <w:rFonts w:eastAsia="Times New Roman"/>
          <w:sz w:val="24"/>
          <w:szCs w:val="24"/>
        </w:rPr>
      </w:pPr>
      <w:r>
        <w:rPr>
          <w:rFonts w:eastAsia="Times New Roman"/>
          <w:sz w:val="24"/>
          <w:szCs w:val="24"/>
        </w:rPr>
        <w:t>Сосновский В.В. Современные проблемы профилактики экологических правонарушений / Труды Института государства и права Российской академии наук. М., 2010. С. 133-141.</w:t>
      </w:r>
    </w:p>
    <w:p w:rsidR="00566FA8" w:rsidRDefault="00566FA8">
      <w:pPr>
        <w:spacing w:line="28" w:lineRule="exact"/>
        <w:rPr>
          <w:rFonts w:eastAsia="Times New Roman"/>
          <w:sz w:val="24"/>
          <w:szCs w:val="24"/>
        </w:rPr>
      </w:pPr>
    </w:p>
    <w:p w:rsidR="00566FA8" w:rsidRDefault="006A0F21">
      <w:pPr>
        <w:numPr>
          <w:ilvl w:val="0"/>
          <w:numId w:val="6"/>
        </w:numPr>
        <w:tabs>
          <w:tab w:val="left" w:pos="420"/>
        </w:tabs>
        <w:spacing w:line="264" w:lineRule="auto"/>
        <w:ind w:left="420" w:hanging="354"/>
        <w:rPr>
          <w:rFonts w:eastAsia="Times New Roman"/>
          <w:sz w:val="24"/>
          <w:szCs w:val="24"/>
        </w:rPr>
      </w:pPr>
      <w:r>
        <w:rPr>
          <w:rFonts w:eastAsia="Times New Roman"/>
          <w:sz w:val="24"/>
          <w:szCs w:val="24"/>
        </w:rPr>
        <w:t>Колбасов О.С. Терминологические блуждания в экологии // Государство и право. 1999. № 10. С.27-37.</w:t>
      </w:r>
    </w:p>
    <w:p w:rsidR="00566FA8" w:rsidRDefault="00566FA8">
      <w:pPr>
        <w:spacing w:line="14" w:lineRule="exact"/>
        <w:rPr>
          <w:rFonts w:eastAsia="Times New Roman"/>
          <w:sz w:val="24"/>
          <w:szCs w:val="24"/>
        </w:rPr>
      </w:pPr>
    </w:p>
    <w:p w:rsidR="00566FA8" w:rsidRDefault="006A0F21">
      <w:pPr>
        <w:numPr>
          <w:ilvl w:val="0"/>
          <w:numId w:val="6"/>
        </w:numPr>
        <w:tabs>
          <w:tab w:val="left" w:pos="420"/>
        </w:tabs>
        <w:ind w:left="420" w:hanging="354"/>
        <w:rPr>
          <w:rFonts w:eastAsia="Times New Roman"/>
          <w:sz w:val="24"/>
          <w:szCs w:val="24"/>
        </w:rPr>
      </w:pPr>
      <w:r>
        <w:rPr>
          <w:rFonts w:eastAsia="Times New Roman"/>
          <w:sz w:val="24"/>
          <w:szCs w:val="24"/>
        </w:rPr>
        <w:t>Доклад Всемирной организации здравоохранения по вопросы влияния экологических</w:t>
      </w:r>
    </w:p>
    <w:p w:rsidR="00566FA8" w:rsidRDefault="00566FA8">
      <w:pPr>
        <w:spacing w:line="41" w:lineRule="exact"/>
        <w:rPr>
          <w:rFonts w:eastAsia="Times New Roman"/>
          <w:sz w:val="24"/>
          <w:szCs w:val="24"/>
        </w:rPr>
      </w:pPr>
    </w:p>
    <w:p w:rsidR="00566FA8" w:rsidRDefault="006A0F21">
      <w:pPr>
        <w:ind w:left="420"/>
        <w:rPr>
          <w:rFonts w:eastAsia="Times New Roman"/>
          <w:sz w:val="24"/>
          <w:szCs w:val="24"/>
        </w:rPr>
      </w:pPr>
      <w:r>
        <w:rPr>
          <w:rFonts w:eastAsia="Times New Roman"/>
          <w:sz w:val="24"/>
          <w:szCs w:val="24"/>
        </w:rPr>
        <w:t>факторовназдоровье</w:t>
      </w:r>
      <w:r>
        <w:rPr>
          <w:rFonts w:eastAsia="Times New Roman"/>
          <w:sz w:val="23"/>
          <w:szCs w:val="23"/>
        </w:rPr>
        <w:t>человека</w:t>
      </w:r>
    </w:p>
    <w:p w:rsidR="00566FA8" w:rsidRDefault="00566FA8">
      <w:pPr>
        <w:spacing w:line="55" w:lineRule="exact"/>
        <w:rPr>
          <w:rFonts w:eastAsia="Times New Roman"/>
          <w:sz w:val="24"/>
          <w:szCs w:val="24"/>
        </w:rPr>
      </w:pPr>
    </w:p>
    <w:p w:rsidR="00566FA8" w:rsidRDefault="006A0F21">
      <w:pPr>
        <w:spacing w:line="264" w:lineRule="auto"/>
        <w:ind w:left="420" w:right="1080"/>
        <w:rPr>
          <w:rFonts w:eastAsia="Times New Roman"/>
          <w:sz w:val="24"/>
          <w:szCs w:val="24"/>
        </w:rPr>
      </w:pPr>
      <w:r>
        <w:rPr>
          <w:rFonts w:eastAsia="Times New Roman"/>
          <w:sz w:val="24"/>
          <w:szCs w:val="24"/>
        </w:rPr>
        <w:t>(https://www.who.int/quantifying_ehimpacts/publications/PHE-prevention-diseases-infographic-RU.pdf?ua=1)</w:t>
      </w:r>
    </w:p>
    <w:p w:rsidR="00566FA8" w:rsidRDefault="00566FA8">
      <w:pPr>
        <w:spacing w:line="26" w:lineRule="exact"/>
        <w:rPr>
          <w:rFonts w:eastAsia="Times New Roman"/>
          <w:sz w:val="24"/>
          <w:szCs w:val="24"/>
        </w:rPr>
      </w:pPr>
    </w:p>
    <w:p w:rsidR="00566FA8" w:rsidRDefault="006A0F21">
      <w:pPr>
        <w:numPr>
          <w:ilvl w:val="0"/>
          <w:numId w:val="6"/>
        </w:numPr>
        <w:tabs>
          <w:tab w:val="left" w:pos="420"/>
        </w:tabs>
        <w:spacing w:line="271" w:lineRule="auto"/>
        <w:ind w:left="420" w:hanging="354"/>
        <w:jc w:val="both"/>
        <w:rPr>
          <w:rFonts w:eastAsia="Times New Roman"/>
          <w:sz w:val="24"/>
          <w:szCs w:val="24"/>
        </w:rPr>
      </w:pPr>
      <w:r>
        <w:rPr>
          <w:rFonts w:eastAsia="Times New Roman"/>
          <w:sz w:val="24"/>
          <w:szCs w:val="24"/>
        </w:rPr>
        <w:t xml:space="preserve">Преамбула ФЗ от 10 января 2002 года № 7-ФЗ «Об охране окружающей среды» // </w:t>
      </w:r>
      <w:r>
        <w:rPr>
          <w:rFonts w:eastAsia="Times New Roman"/>
          <w:sz w:val="24"/>
          <w:szCs w:val="24"/>
          <w:u w:val="single"/>
        </w:rPr>
        <w:t>www.pravo.gov.ru</w:t>
      </w:r>
      <w:r>
        <w:rPr>
          <w:rFonts w:eastAsia="Times New Roman"/>
          <w:sz w:val="24"/>
          <w:szCs w:val="24"/>
        </w:rPr>
        <w:t>. Особенно сегодня очевидно влияние климатических изменений на качество жизни будущих поколений, что отражено в Рамочной конвенции ООН по</w:t>
      </w:r>
    </w:p>
    <w:p w:rsidR="00566FA8" w:rsidRDefault="00566FA8">
      <w:pPr>
        <w:spacing w:line="17" w:lineRule="exact"/>
        <w:rPr>
          <w:rFonts w:eastAsia="Times New Roman"/>
          <w:sz w:val="24"/>
          <w:szCs w:val="24"/>
        </w:rPr>
      </w:pPr>
    </w:p>
    <w:p w:rsidR="00566FA8" w:rsidRDefault="006A0F21">
      <w:pPr>
        <w:spacing w:line="264" w:lineRule="auto"/>
        <w:ind w:left="420"/>
        <w:rPr>
          <w:rFonts w:eastAsia="Times New Roman"/>
          <w:sz w:val="24"/>
          <w:szCs w:val="24"/>
        </w:rPr>
      </w:pPr>
      <w:r>
        <w:rPr>
          <w:rFonts w:eastAsia="Times New Roman"/>
          <w:sz w:val="24"/>
          <w:szCs w:val="24"/>
        </w:rPr>
        <w:t>изменению климата и принятых в ее развитие документов (см. http://www.un.org/ru/documents/decl_conv/conventions/climate_framework_conv.shtml)</w:t>
      </w:r>
    </w:p>
    <w:p w:rsidR="00566FA8" w:rsidRDefault="00566FA8">
      <w:pPr>
        <w:spacing w:line="14" w:lineRule="exact"/>
        <w:rPr>
          <w:rFonts w:eastAsia="Times New Roman"/>
          <w:sz w:val="24"/>
          <w:szCs w:val="24"/>
        </w:rPr>
      </w:pPr>
    </w:p>
    <w:p w:rsidR="00566FA8" w:rsidRDefault="006A0F21">
      <w:pPr>
        <w:numPr>
          <w:ilvl w:val="0"/>
          <w:numId w:val="6"/>
        </w:numPr>
        <w:tabs>
          <w:tab w:val="left" w:pos="420"/>
        </w:tabs>
        <w:ind w:left="420" w:hanging="354"/>
        <w:rPr>
          <w:rFonts w:eastAsia="Times New Roman"/>
          <w:sz w:val="24"/>
          <w:szCs w:val="24"/>
        </w:rPr>
      </w:pPr>
      <w:r>
        <w:rPr>
          <w:rFonts w:eastAsia="Times New Roman"/>
          <w:sz w:val="24"/>
          <w:szCs w:val="24"/>
        </w:rPr>
        <w:t>Васильева М.И. Публичные интересы в экологическом праве. М., 2003. 424 с.</w:t>
      </w:r>
    </w:p>
    <w:p w:rsidR="00566FA8" w:rsidRDefault="00566FA8">
      <w:pPr>
        <w:spacing w:line="55" w:lineRule="exact"/>
        <w:rPr>
          <w:rFonts w:eastAsia="Times New Roman"/>
          <w:sz w:val="24"/>
          <w:szCs w:val="24"/>
        </w:rPr>
      </w:pPr>
    </w:p>
    <w:p w:rsidR="00566FA8" w:rsidRDefault="006A0F21">
      <w:pPr>
        <w:numPr>
          <w:ilvl w:val="0"/>
          <w:numId w:val="6"/>
        </w:numPr>
        <w:tabs>
          <w:tab w:val="left" w:pos="420"/>
        </w:tabs>
        <w:spacing w:line="270" w:lineRule="auto"/>
        <w:ind w:left="420" w:hanging="354"/>
        <w:jc w:val="both"/>
        <w:rPr>
          <w:rFonts w:eastAsia="Times New Roman"/>
          <w:sz w:val="24"/>
          <w:szCs w:val="24"/>
        </w:rPr>
      </w:pPr>
      <w:r>
        <w:rPr>
          <w:rFonts w:eastAsia="Times New Roman"/>
          <w:sz w:val="24"/>
          <w:szCs w:val="24"/>
        </w:rPr>
        <w:t>По данным Минприроды России при сохранении современной тенденции выбросов парниковых газов и изменения климата к 2030 году экономический ущерб будет составлять 1–2% ВВП России.</w:t>
      </w:r>
    </w:p>
    <w:sectPr w:rsidR="00566FA8" w:rsidSect="0048182F">
      <w:pgSz w:w="11900" w:h="16838"/>
      <w:pgMar w:top="699" w:right="846" w:bottom="1077" w:left="142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5476CCEE"/>
    <w:lvl w:ilvl="0" w:tplc="835287C2">
      <w:start w:val="1"/>
      <w:numFmt w:val="bullet"/>
      <w:lvlText w:val="В"/>
      <w:lvlJc w:val="left"/>
    </w:lvl>
    <w:lvl w:ilvl="1" w:tplc="A0B842F2">
      <w:start w:val="1"/>
      <w:numFmt w:val="bullet"/>
      <w:lvlText w:val="В"/>
      <w:lvlJc w:val="left"/>
    </w:lvl>
    <w:lvl w:ilvl="2" w:tplc="9942ED22">
      <w:numFmt w:val="decimal"/>
      <w:lvlText w:val=""/>
      <w:lvlJc w:val="left"/>
    </w:lvl>
    <w:lvl w:ilvl="3" w:tplc="DC38056E">
      <w:numFmt w:val="decimal"/>
      <w:lvlText w:val=""/>
      <w:lvlJc w:val="left"/>
    </w:lvl>
    <w:lvl w:ilvl="4" w:tplc="C88090CA">
      <w:numFmt w:val="decimal"/>
      <w:lvlText w:val=""/>
      <w:lvlJc w:val="left"/>
    </w:lvl>
    <w:lvl w:ilvl="5" w:tplc="3E022856">
      <w:numFmt w:val="decimal"/>
      <w:lvlText w:val=""/>
      <w:lvlJc w:val="left"/>
    </w:lvl>
    <w:lvl w:ilvl="6" w:tplc="C1149BFE">
      <w:numFmt w:val="decimal"/>
      <w:lvlText w:val=""/>
      <w:lvlJc w:val="left"/>
    </w:lvl>
    <w:lvl w:ilvl="7" w:tplc="0F3E342E">
      <w:numFmt w:val="decimal"/>
      <w:lvlText w:val=""/>
      <w:lvlJc w:val="left"/>
    </w:lvl>
    <w:lvl w:ilvl="8" w:tplc="372C11A2">
      <w:numFmt w:val="decimal"/>
      <w:lvlText w:val=""/>
      <w:lvlJc w:val="left"/>
    </w:lvl>
  </w:abstractNum>
  <w:abstractNum w:abstractNumId="1" w15:restartNumberingAfterBreak="0">
    <w:nsid w:val="000041BB"/>
    <w:multiLevelType w:val="hybridMultilevel"/>
    <w:tmpl w:val="B1AA653C"/>
    <w:lvl w:ilvl="0" w:tplc="1A4081BA">
      <w:start w:val="8"/>
      <w:numFmt w:val="decimal"/>
      <w:lvlText w:val="%1."/>
      <w:lvlJc w:val="left"/>
    </w:lvl>
    <w:lvl w:ilvl="1" w:tplc="2646C640">
      <w:numFmt w:val="decimal"/>
      <w:lvlText w:val=""/>
      <w:lvlJc w:val="left"/>
    </w:lvl>
    <w:lvl w:ilvl="2" w:tplc="0786EC5E">
      <w:numFmt w:val="decimal"/>
      <w:lvlText w:val=""/>
      <w:lvlJc w:val="left"/>
    </w:lvl>
    <w:lvl w:ilvl="3" w:tplc="7D442658">
      <w:numFmt w:val="decimal"/>
      <w:lvlText w:val=""/>
      <w:lvlJc w:val="left"/>
    </w:lvl>
    <w:lvl w:ilvl="4" w:tplc="4DAE76FC">
      <w:numFmt w:val="decimal"/>
      <w:lvlText w:val=""/>
      <w:lvlJc w:val="left"/>
    </w:lvl>
    <w:lvl w:ilvl="5" w:tplc="107015BE">
      <w:numFmt w:val="decimal"/>
      <w:lvlText w:val=""/>
      <w:lvlJc w:val="left"/>
    </w:lvl>
    <w:lvl w:ilvl="6" w:tplc="80967FDA">
      <w:numFmt w:val="decimal"/>
      <w:lvlText w:val=""/>
      <w:lvlJc w:val="left"/>
    </w:lvl>
    <w:lvl w:ilvl="7" w:tplc="592201F6">
      <w:numFmt w:val="decimal"/>
      <w:lvlText w:val=""/>
      <w:lvlJc w:val="left"/>
    </w:lvl>
    <w:lvl w:ilvl="8" w:tplc="85D846BC">
      <w:numFmt w:val="decimal"/>
      <w:lvlText w:val=""/>
      <w:lvlJc w:val="left"/>
    </w:lvl>
  </w:abstractNum>
  <w:abstractNum w:abstractNumId="2" w15:restartNumberingAfterBreak="0">
    <w:nsid w:val="00005AF1"/>
    <w:multiLevelType w:val="hybridMultilevel"/>
    <w:tmpl w:val="993AC5A8"/>
    <w:lvl w:ilvl="0" w:tplc="3C1ED022">
      <w:start w:val="1"/>
      <w:numFmt w:val="decimal"/>
      <w:lvlText w:val="%1."/>
      <w:lvlJc w:val="left"/>
    </w:lvl>
    <w:lvl w:ilvl="1" w:tplc="227C7002">
      <w:numFmt w:val="decimal"/>
      <w:lvlText w:val=""/>
      <w:lvlJc w:val="left"/>
    </w:lvl>
    <w:lvl w:ilvl="2" w:tplc="862E3BF0">
      <w:numFmt w:val="decimal"/>
      <w:lvlText w:val=""/>
      <w:lvlJc w:val="left"/>
    </w:lvl>
    <w:lvl w:ilvl="3" w:tplc="AFC6BAA6">
      <w:numFmt w:val="decimal"/>
      <w:lvlText w:val=""/>
      <w:lvlJc w:val="left"/>
    </w:lvl>
    <w:lvl w:ilvl="4" w:tplc="F8241126">
      <w:numFmt w:val="decimal"/>
      <w:lvlText w:val=""/>
      <w:lvlJc w:val="left"/>
    </w:lvl>
    <w:lvl w:ilvl="5" w:tplc="30F8E050">
      <w:numFmt w:val="decimal"/>
      <w:lvlText w:val=""/>
      <w:lvlJc w:val="left"/>
    </w:lvl>
    <w:lvl w:ilvl="6" w:tplc="04523DD8">
      <w:numFmt w:val="decimal"/>
      <w:lvlText w:val=""/>
      <w:lvlJc w:val="left"/>
    </w:lvl>
    <w:lvl w:ilvl="7" w:tplc="DAFA263E">
      <w:numFmt w:val="decimal"/>
      <w:lvlText w:val=""/>
      <w:lvlJc w:val="left"/>
    </w:lvl>
    <w:lvl w:ilvl="8" w:tplc="67B4EC08">
      <w:numFmt w:val="decimal"/>
      <w:lvlText w:val=""/>
      <w:lvlJc w:val="left"/>
    </w:lvl>
  </w:abstractNum>
  <w:abstractNum w:abstractNumId="3" w15:restartNumberingAfterBreak="0">
    <w:nsid w:val="00005F90"/>
    <w:multiLevelType w:val="hybridMultilevel"/>
    <w:tmpl w:val="D242C8C0"/>
    <w:lvl w:ilvl="0" w:tplc="EBACC0F6">
      <w:start w:val="1"/>
      <w:numFmt w:val="bullet"/>
      <w:lvlText w:val="о"/>
      <w:lvlJc w:val="left"/>
    </w:lvl>
    <w:lvl w:ilvl="1" w:tplc="3D8470E0">
      <w:start w:val="1"/>
      <w:numFmt w:val="bullet"/>
      <w:lvlText w:val="В"/>
      <w:lvlJc w:val="left"/>
    </w:lvl>
    <w:lvl w:ilvl="2" w:tplc="C764DE1C">
      <w:numFmt w:val="decimal"/>
      <w:lvlText w:val=""/>
      <w:lvlJc w:val="left"/>
    </w:lvl>
    <w:lvl w:ilvl="3" w:tplc="9320E02E">
      <w:numFmt w:val="decimal"/>
      <w:lvlText w:val=""/>
      <w:lvlJc w:val="left"/>
    </w:lvl>
    <w:lvl w:ilvl="4" w:tplc="F7840C9C">
      <w:numFmt w:val="decimal"/>
      <w:lvlText w:val=""/>
      <w:lvlJc w:val="left"/>
    </w:lvl>
    <w:lvl w:ilvl="5" w:tplc="2DEC00FC">
      <w:numFmt w:val="decimal"/>
      <w:lvlText w:val=""/>
      <w:lvlJc w:val="left"/>
    </w:lvl>
    <w:lvl w:ilvl="6" w:tplc="2B70D94E">
      <w:numFmt w:val="decimal"/>
      <w:lvlText w:val=""/>
      <w:lvlJc w:val="left"/>
    </w:lvl>
    <w:lvl w:ilvl="7" w:tplc="1BC80FA4">
      <w:numFmt w:val="decimal"/>
      <w:lvlText w:val=""/>
      <w:lvlJc w:val="left"/>
    </w:lvl>
    <w:lvl w:ilvl="8" w:tplc="8D2A2D5A">
      <w:numFmt w:val="decimal"/>
      <w:lvlText w:val=""/>
      <w:lvlJc w:val="left"/>
    </w:lvl>
  </w:abstractNum>
  <w:abstractNum w:abstractNumId="4" w15:restartNumberingAfterBreak="0">
    <w:nsid w:val="00006952"/>
    <w:multiLevelType w:val="hybridMultilevel"/>
    <w:tmpl w:val="1B2E1F7A"/>
    <w:lvl w:ilvl="0" w:tplc="F39AE720">
      <w:start w:val="1"/>
      <w:numFmt w:val="bullet"/>
      <w:lvlText w:val="К"/>
      <w:lvlJc w:val="left"/>
    </w:lvl>
    <w:lvl w:ilvl="1" w:tplc="71B6CAD2">
      <w:start w:val="1"/>
      <w:numFmt w:val="bullet"/>
      <w:lvlText w:val="в"/>
      <w:lvlJc w:val="left"/>
    </w:lvl>
    <w:lvl w:ilvl="2" w:tplc="5CBACB8A">
      <w:numFmt w:val="decimal"/>
      <w:lvlText w:val=""/>
      <w:lvlJc w:val="left"/>
    </w:lvl>
    <w:lvl w:ilvl="3" w:tplc="F99A293C">
      <w:numFmt w:val="decimal"/>
      <w:lvlText w:val=""/>
      <w:lvlJc w:val="left"/>
    </w:lvl>
    <w:lvl w:ilvl="4" w:tplc="6360D992">
      <w:numFmt w:val="decimal"/>
      <w:lvlText w:val=""/>
      <w:lvlJc w:val="left"/>
    </w:lvl>
    <w:lvl w:ilvl="5" w:tplc="4F689BF2">
      <w:numFmt w:val="decimal"/>
      <w:lvlText w:val=""/>
      <w:lvlJc w:val="left"/>
    </w:lvl>
    <w:lvl w:ilvl="6" w:tplc="393C2CDA">
      <w:numFmt w:val="decimal"/>
      <w:lvlText w:val=""/>
      <w:lvlJc w:val="left"/>
    </w:lvl>
    <w:lvl w:ilvl="7" w:tplc="2AF8C184">
      <w:numFmt w:val="decimal"/>
      <w:lvlText w:val=""/>
      <w:lvlJc w:val="left"/>
    </w:lvl>
    <w:lvl w:ilvl="8" w:tplc="630051DC">
      <w:numFmt w:val="decimal"/>
      <w:lvlText w:val=""/>
      <w:lvlJc w:val="left"/>
    </w:lvl>
  </w:abstractNum>
  <w:abstractNum w:abstractNumId="5" w15:restartNumberingAfterBreak="0">
    <w:nsid w:val="00006DF1"/>
    <w:multiLevelType w:val="hybridMultilevel"/>
    <w:tmpl w:val="E57410BA"/>
    <w:lvl w:ilvl="0" w:tplc="1B54C5BA">
      <w:start w:val="1"/>
      <w:numFmt w:val="bullet"/>
      <w:lvlText w:val="В"/>
      <w:lvlJc w:val="left"/>
    </w:lvl>
    <w:lvl w:ilvl="1" w:tplc="F5A8F1C2">
      <w:numFmt w:val="decimal"/>
      <w:lvlText w:val=""/>
      <w:lvlJc w:val="left"/>
    </w:lvl>
    <w:lvl w:ilvl="2" w:tplc="6498721E">
      <w:numFmt w:val="decimal"/>
      <w:lvlText w:val=""/>
      <w:lvlJc w:val="left"/>
    </w:lvl>
    <w:lvl w:ilvl="3" w:tplc="5CC200EE">
      <w:numFmt w:val="decimal"/>
      <w:lvlText w:val=""/>
      <w:lvlJc w:val="left"/>
    </w:lvl>
    <w:lvl w:ilvl="4" w:tplc="E2A6B008">
      <w:numFmt w:val="decimal"/>
      <w:lvlText w:val=""/>
      <w:lvlJc w:val="left"/>
    </w:lvl>
    <w:lvl w:ilvl="5" w:tplc="948A1834">
      <w:numFmt w:val="decimal"/>
      <w:lvlText w:val=""/>
      <w:lvlJc w:val="left"/>
    </w:lvl>
    <w:lvl w:ilvl="6" w:tplc="CCEAB58E">
      <w:numFmt w:val="decimal"/>
      <w:lvlText w:val=""/>
      <w:lvlJc w:val="left"/>
    </w:lvl>
    <w:lvl w:ilvl="7" w:tplc="AF76D992">
      <w:numFmt w:val="decimal"/>
      <w:lvlText w:val=""/>
      <w:lvlJc w:val="left"/>
    </w:lvl>
    <w:lvl w:ilvl="8" w:tplc="5972D3DE">
      <w:numFmt w:val="decimal"/>
      <w:lvlText w:val=""/>
      <w:lvlJc w:val="left"/>
    </w:lvl>
  </w:abstractNum>
  <w:abstractNum w:abstractNumId="6" w15:restartNumberingAfterBreak="0">
    <w:nsid w:val="000072AE"/>
    <w:multiLevelType w:val="hybridMultilevel"/>
    <w:tmpl w:val="B2FC1C42"/>
    <w:lvl w:ilvl="0" w:tplc="95B02C82">
      <w:start w:val="1"/>
      <w:numFmt w:val="decimal"/>
      <w:lvlText w:val="%1."/>
      <w:lvlJc w:val="left"/>
    </w:lvl>
    <w:lvl w:ilvl="1" w:tplc="ECD8C322">
      <w:numFmt w:val="decimal"/>
      <w:lvlText w:val=""/>
      <w:lvlJc w:val="left"/>
    </w:lvl>
    <w:lvl w:ilvl="2" w:tplc="81087A66">
      <w:numFmt w:val="decimal"/>
      <w:lvlText w:val=""/>
      <w:lvlJc w:val="left"/>
    </w:lvl>
    <w:lvl w:ilvl="3" w:tplc="3634C0C0">
      <w:numFmt w:val="decimal"/>
      <w:lvlText w:val=""/>
      <w:lvlJc w:val="left"/>
    </w:lvl>
    <w:lvl w:ilvl="4" w:tplc="3510EEF6">
      <w:numFmt w:val="decimal"/>
      <w:lvlText w:val=""/>
      <w:lvlJc w:val="left"/>
    </w:lvl>
    <w:lvl w:ilvl="5" w:tplc="1A6CF828">
      <w:numFmt w:val="decimal"/>
      <w:lvlText w:val=""/>
      <w:lvlJc w:val="left"/>
    </w:lvl>
    <w:lvl w:ilvl="6" w:tplc="99F0F954">
      <w:numFmt w:val="decimal"/>
      <w:lvlText w:val=""/>
      <w:lvlJc w:val="left"/>
    </w:lvl>
    <w:lvl w:ilvl="7" w:tplc="905452B6">
      <w:numFmt w:val="decimal"/>
      <w:lvlText w:val=""/>
      <w:lvlJc w:val="left"/>
    </w:lvl>
    <w:lvl w:ilvl="8" w:tplc="9C0AA60E">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A8"/>
    <w:rsid w:val="00047530"/>
    <w:rsid w:val="0048182F"/>
    <w:rsid w:val="00566FA8"/>
    <w:rsid w:val="006A0F21"/>
    <w:rsid w:val="00A5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1640"/>
  <w15:docId w15:val="{BD2F2B6B-75A4-4F01-9477-95F5FD13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8182F"/>
    <w:rPr>
      <w:rFonts w:ascii="Segoe UI" w:hAnsi="Segoe UI" w:cs="Segoe UI"/>
      <w:sz w:val="18"/>
      <w:szCs w:val="18"/>
    </w:rPr>
  </w:style>
  <w:style w:type="character" w:customStyle="1" w:styleId="a5">
    <w:name w:val="Текст выноски Знак"/>
    <w:basedOn w:val="a0"/>
    <w:link w:val="a4"/>
    <w:uiPriority w:val="99"/>
    <w:semiHidden/>
    <w:rsid w:val="00481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7320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cp:lastPrinted>2019-10-07T08:39:00Z</cp:lastPrinted>
  <dcterms:created xsi:type="dcterms:W3CDTF">2019-10-09T07:33:00Z</dcterms:created>
  <dcterms:modified xsi:type="dcterms:W3CDTF">2019-10-09T07:33:00Z</dcterms:modified>
</cp:coreProperties>
</file>