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88" w:rsidRPr="00DC1503" w:rsidRDefault="007E7688" w:rsidP="007E7688">
      <w:pPr>
        <w:pStyle w:val="2"/>
        <w:spacing w:before="0"/>
      </w:pPr>
      <w:bookmarkStart w:id="0" w:name="_Toc14624443"/>
      <w:r>
        <w:t xml:space="preserve">Алгоритм определения </w:t>
      </w:r>
      <w:r w:rsidRPr="00DC1503">
        <w:t xml:space="preserve">параметров </w:t>
      </w:r>
      <w:proofErr w:type="spellStart"/>
      <w:r w:rsidRPr="00DC1503">
        <w:t>биогазовой</w:t>
      </w:r>
      <w:proofErr w:type="spellEnd"/>
      <w:r w:rsidRPr="00DC1503">
        <w:t xml:space="preserve"> установки</w:t>
      </w:r>
      <w:bookmarkEnd w:id="0"/>
      <w:r w:rsidRPr="00DC1503">
        <w:t xml:space="preserve"> 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88" w:rsidRPr="00A32618" w:rsidRDefault="007E7688" w:rsidP="007E76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биогазовой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важнейший элемент проектирования и всегда предваряет выбор технологии и тем более конструктивного исполнения оборудования. Прежде всего, требуется определить:</w:t>
      </w:r>
    </w:p>
    <w:p w:rsidR="007E7688" w:rsidRPr="00A32618" w:rsidRDefault="007E7688" w:rsidP="007E768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процесса брожения (термофильный либо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мезофильный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E7688" w:rsidRPr="00A32618" w:rsidRDefault="007E7688" w:rsidP="007E768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брожения;</w:t>
      </w:r>
    </w:p>
    <w:p w:rsidR="007E7688" w:rsidRPr="00A32618" w:rsidRDefault="007E7688" w:rsidP="007E768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сбора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7688" w:rsidRPr="00A32618" w:rsidRDefault="007E7688" w:rsidP="007E768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заполнения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7688" w:rsidRPr="00A32618" w:rsidRDefault="007E7688" w:rsidP="007E768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организации теплоснабжения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(резервуара);</w:t>
      </w:r>
    </w:p>
    <w:p w:rsidR="007E7688" w:rsidRPr="00A32618" w:rsidRDefault="007E7688" w:rsidP="007E768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загрузки субстрата и удаления шлама.</w:t>
      </w:r>
    </w:p>
    <w:p w:rsidR="007E7688" w:rsidRPr="00A32618" w:rsidRDefault="007E7688" w:rsidP="007E76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произвести расчеты:</w:t>
      </w:r>
    </w:p>
    <w:p w:rsidR="007E7688" w:rsidRPr="00A32618" w:rsidRDefault="007E7688" w:rsidP="007E768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суточного объема биомассы, предназначенной для сбраживания;</w:t>
      </w:r>
    </w:p>
    <w:p w:rsidR="007E7688" w:rsidRPr="00A32618" w:rsidRDefault="007E7688" w:rsidP="007E768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суточного объема биомассы, включающей примеси;</w:t>
      </w:r>
    </w:p>
    <w:p w:rsidR="007E7688" w:rsidRPr="00A32618" w:rsidRDefault="007E7688" w:rsidP="007E768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сухого вещества в биомассе;</w:t>
      </w:r>
    </w:p>
    <w:p w:rsidR="007E7688" w:rsidRPr="00A32618" w:rsidRDefault="007E7688" w:rsidP="007E7688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сухих органических веществ в биомассе;</w:t>
      </w:r>
    </w:p>
    <w:p w:rsidR="007E7688" w:rsidRPr="00A32618" w:rsidRDefault="007E7688" w:rsidP="007E768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теоретического 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proofErr w:type="spellStart"/>
        <w:r w:rsidRPr="007E76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биогаза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условии полного разложения субстрата;</w:t>
      </w:r>
    </w:p>
    <w:p w:rsidR="007E7688" w:rsidRPr="00A32618" w:rsidRDefault="007E7688" w:rsidP="007E768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теоретического выхода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неполном сбраживании;</w:t>
      </w:r>
    </w:p>
    <w:p w:rsidR="007E7688" w:rsidRPr="00A32618" w:rsidRDefault="007E7688" w:rsidP="007E768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проектируемого объема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рассчитанного на полную загрузку;</w:t>
      </w:r>
    </w:p>
    <w:p w:rsidR="007E7688" w:rsidRPr="00A32618" w:rsidRDefault="007E7688" w:rsidP="007E7688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теплоты, требуемой для нагрева ежесуточно загружаемой биомассы до необходимой температуры брожения;</w:t>
      </w:r>
    </w:p>
    <w:p w:rsidR="007E7688" w:rsidRPr="007E7688" w:rsidRDefault="007E7688" w:rsidP="007E768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тепловых потерь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proofErr w:type="spellStart"/>
        <w:r w:rsidRPr="007E76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биогазовой</w:t>
        </w:r>
        <w:proofErr w:type="spellEnd"/>
        <w:r w:rsidRPr="007E76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станции</w:t>
        </w:r>
      </w:hyperlink>
      <w:r w:rsidRPr="007E76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7688" w:rsidRPr="00A32618" w:rsidRDefault="007E7688" w:rsidP="007E7688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необходимой энергии для перемешивания биомассы;</w:t>
      </w:r>
    </w:p>
    <w:p w:rsidR="007E7688" w:rsidRPr="00A32618" w:rsidRDefault="007E7688" w:rsidP="007E7688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суточной выработки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биогазовым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оборудованием полезной энергии;</w:t>
      </w:r>
    </w:p>
    <w:p w:rsidR="007E7688" w:rsidRPr="00A32618" w:rsidRDefault="007E7688" w:rsidP="007E7688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экономии условного топлива за счет выработанного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688" w:rsidRPr="00A32618" w:rsidRDefault="007E7688" w:rsidP="007E76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проектирования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биогазовых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 применяются эмпирические данные, полученные в лабораториях. Подобная информация подвергается обработке и группировке в специальные таблицы параметров </w:t>
      </w: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технологических процессов. Но значение погрешности в таблицах может достигать 50 %. Поэтому спрогнозировать суточные показатели объемов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7E76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состава получаемого </w:t>
        </w:r>
        <w:proofErr w:type="spellStart"/>
        <w:r w:rsidRPr="007E76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биогаза</w:t>
        </w:r>
        <w:proofErr w:type="spellEnd"/>
      </w:hyperlink>
      <w:r w:rsidRPr="007E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61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проектируемого оборудования можно лишь с невысокой точностью. Наращивание точности расчета требует проведения собственного лабораторного эксперимента. Тем не менее, даже самые примитивные расчеты позволят оценить приблизительные параметры выхода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688" w:rsidRPr="00A32618" w:rsidRDefault="007E7688" w:rsidP="007E76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проектирования ключевое значение имеет определение оптимального объема биомассы, загружаемой для переработки. При меньших объемах органического материала нарушается равновесие системы, при увеличенных загрузках наблюдается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переокисление</w:t>
      </w:r>
      <w:proofErr w:type="spellEnd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биологической массы, что обуславливает замедление выделения </w:t>
      </w:r>
      <w:proofErr w:type="spellStart"/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биогаза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[1]</w:t>
      </w:r>
      <w:r w:rsidRPr="00A32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Расчет параметров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биогазовой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производит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ся в следующей последовательности: 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объема загружаемой биомассы и выхода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важно знать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ество исходного сырья. Если рас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сматривать отходы животноводства, необходимо определить суточный выход навоза, загружаемого в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метантенк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сут.эк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ж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уд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 кг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(1)</w:t>
            </w:r>
          </w:p>
        </w:tc>
      </w:tr>
    </w:tbl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ж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животных; 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уд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удельный выход экскрементов в сутки. </w:t>
      </w:r>
    </w:p>
    <w:p w:rsidR="007E7688" w:rsidRDefault="007E7688" w:rsidP="007E76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элементов, содержащихся в навозе, свидетельствует, что в нем имеется: около 25–93 % воды, 13–17 % подстилки, 7–11 % корма, до 17 % грунтовой массы и иных примесей. Наличие этих компонентов оказывает воздействие на объемы сухих органических компонентов в субстрате, кроме того, объем воды определяет влажность биомассы. Для определения содержимого сухих компонентов, а также параметров влажности используют специальные таблицы и поправочные коэффициенты [1].</w:t>
      </w:r>
    </w:p>
    <w:p w:rsidR="007E7688" w:rsidRDefault="007E7688" w:rsidP="007E76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Суточный объем биомассы, включающей примеси, рассчитывается по формуле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4"/>
      </w:tblGrid>
      <w:tr w:rsidR="007E7688" w:rsidTr="00796B78">
        <w:tc>
          <w:tcPr>
            <w:tcW w:w="9039" w:type="dxa"/>
          </w:tcPr>
          <w:p w:rsidR="007E7688" w:rsidRDefault="007E7688" w:rsidP="007E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сут.общ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сут.эк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 кг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814" w:type="dxa"/>
          </w:tcPr>
          <w:p w:rsidR="007E7688" w:rsidRDefault="007E7688" w:rsidP="007E7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(2)</w:t>
            </w:r>
          </w:p>
        </w:tc>
      </w:tr>
    </w:tbl>
    <w:p w:rsidR="007E7688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  <w:proofErr w:type="gramEnd"/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значение поправочного коэффициента (находится в диапазоне 1,3-1,6).</w:t>
      </w:r>
    </w:p>
    <w:p w:rsidR="007E7688" w:rsidRDefault="007E7688" w:rsidP="007E76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оценить долю сухого вещества (</w:t>
      </w:r>
      <w:proofErr w:type="gram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C1503">
        <w:rPr>
          <w:rFonts w:ascii="Times New Roman" w:hAnsi="Times New Roman" w:cs="Times New Roman"/>
          <w:color w:val="000000"/>
          <w:sz w:val="28"/>
          <w:szCs w:val="28"/>
        </w:rPr>
        <w:t>) в загружаемой биомассе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св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сут.эк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экс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), кг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экс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%</m:t>
        </m:r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влажность массы экскрементов, %. 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Доля содержания сухого органического вещества (СОВ) в биомассе: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сов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св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сов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 кг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сов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%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содержание СОВ в биомассе, %.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более достоверных параметров содержания СОВ в биомассе требуется получить пробы сырья и выполнить анализ в лабораторных условиях.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Теоретический выход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полного разложения субстрата: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тп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эк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сов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CD2DF1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эк</m:t>
            </m:r>
            <w:proofErr w:type="gramEnd"/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выход биогаза из 1 кг СОВ различного исходного материала,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/кг.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Теоретический выход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неполном сбраживании: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тн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тп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5B5032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%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- уровень сбраживания биомассы (применяется в диапазоне 60-70%).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Если объем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 не определен, то определяется 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необходимый объем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метантека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объем за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гружаемой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массы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пол</m:t>
            </m:r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.з</m:t>
            </m:r>
            <w:proofErr w:type="gramEnd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аг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следующим формулам [2]: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св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v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C67993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рекомендуемый объем загрузки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сутки, кг/м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  <w:proofErr w:type="gramEnd"/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согласовать с объемом полной загрузки метантенка: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пол.заг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сут.эк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сут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сут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продолжительность процесса брожения, сут.;</w:t>
      </w:r>
    </w:p>
    <w:p w:rsidR="007E7688" w:rsidRPr="00A331D7" w:rsidRDefault="007E7688" w:rsidP="007E768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удельная плотность сбраживаемой массы,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Объем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соотноситься с объемом загружаемой биомассы: 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пол</m:t>
            </m:r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.з</m:t>
            </m:r>
            <w:proofErr w:type="gramEnd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аг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≪</m:t>
        </m:r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>, то з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начительная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пользоваться не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Метантенк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наиболее капитало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емкий элемент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биогазовой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установки, и такой вариант будет менее эффективным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пол</m:t>
            </m:r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.з</m:t>
            </m:r>
            <w:proofErr w:type="gramEnd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аг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>, могут возникнуть проблемы со сбором биогаза, так как пена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образующаяся в процессе броже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ния, будет забивать канал сбора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елательно, чтобы соотношение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пол</m:t>
            </m:r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.з</m:t>
            </m:r>
            <w:proofErr w:type="gramEnd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аг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/</m:t>
        </m:r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>составляло 0,7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0,9. </w:t>
      </w:r>
    </w:p>
    <w:p w:rsidR="007E7688" w:rsidRDefault="007E7688" w:rsidP="007E76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сли применяется 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дартный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метантенк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то останавли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ваются на ближайшем большем объеме его;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метантенк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будет изготовляться индивидуально, то под объем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w:proofErr w:type="gramStart"/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</m:t>
            </m:r>
            <w:proofErr w:type="gramEnd"/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рассчитываются геометрические размеры. Рекомендуется выбирать метантенк цилиндрической формы. Для удобства сбора шлама и биогаза верхнюю и нижнюю части метантенка выполняют в виде усеченного конуса с горловиной в верхней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части. Определяется способ пере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мешивания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сбражива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массы (механическое переме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шивание,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барботаж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. Энергетические показатели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биогазовой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количество т</w:t>
      </w:r>
      <w:r>
        <w:rPr>
          <w:rFonts w:ascii="Times New Roman" w:hAnsi="Times New Roman" w:cs="Times New Roman"/>
          <w:color w:val="000000"/>
          <w:sz w:val="28"/>
          <w:szCs w:val="28"/>
        </w:rPr>
        <w:t>еплоты, необходимое для подогре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ва загружаемой массы до температуры процесса брожения в сутки: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под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сут.эк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ЗАГ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)∙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η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  МДж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теплоемкость субстрата,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=4,18∙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кг·°К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ПР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температура процесса брожения, 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(зависит от типов бродильных процессов: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мезофильного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+32…+34</w:t>
      </w:r>
      <w:proofErr w:type="gram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для термофильного  +52…+54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 w:cs="Times New Roman"/>
          <w:color w:val="000000"/>
          <w:sz w:val="28"/>
          <w:szCs w:val="28"/>
        </w:rPr>
        <w:t>С)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ЗАГ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– температура загружаемого субстрата, 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(равна либо температуре помещения, либо температуре окружающей среды)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η</m:t>
        </m:r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полезного действия процесса.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количество теплоты, теряемо</w:t>
      </w:r>
      <w:r>
        <w:rPr>
          <w:rFonts w:ascii="Times New Roman" w:hAnsi="Times New Roman" w:cs="Times New Roman"/>
          <w:color w:val="000000"/>
          <w:sz w:val="28"/>
          <w:szCs w:val="28"/>
        </w:rPr>
        <w:t>е субстратом в ре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зультате теплоотдачи через стенку реактора в окружающую среду за час: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пот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=k∙P∙(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СРЕДЫ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),  Вт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k</m:t>
        </m:r>
      </m:oMath>
      <w:r w:rsidRPr="00D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– коэффициент теплоотдачи, Вт/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0B47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DC1503">
        <w:rPr>
          <w:rFonts w:ascii="Times New Roman" w:hAnsi="Times New Roman" w:cs="Times New Roman"/>
          <w:color w:val="000000"/>
          <w:sz w:val="28"/>
          <w:szCs w:val="28"/>
        </w:rPr>
        <w:t>·°К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СРЕДЫ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температура окружающего воздуха, °</w:t>
      </w:r>
      <w:proofErr w:type="gram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P</m:t>
        </m:r>
      </m:oMath>
      <w:r w:rsidRPr="00D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– площадь поверхности теплообмена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>, м</w:t>
      </w:r>
      <w:proofErr w:type="gramStart"/>
      <w:r w:rsidRPr="000B47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D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>Коэффициент теплоотдачи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w:lastRenderedPageBreak/>
                <m:t>k=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δ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nary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Вт/(м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vertAlign w:val="superscript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·°К)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термическое сопротивление теплоотдачи от субстрата к внутренней поверхности стенки метантенка и от внешней поверхности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теплоизоляции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окру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жающей среде соответственно;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e>
        </m:nary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суммарное </w:t>
      </w:r>
      <w:r>
        <w:rPr>
          <w:rFonts w:ascii="Times New Roman" w:hAnsi="Times New Roman" w:cs="Times New Roman"/>
          <w:color w:val="000000"/>
          <w:sz w:val="28"/>
          <w:szCs w:val="28"/>
        </w:rPr>
        <w:t>термическое сопротивление тепло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проводности материала стенок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метантенка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λ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ст</m:t>
                </m:r>
                <w:proofErr w:type="gramEnd"/>
              </m:sub>
            </m:sSub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тепло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изоляции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из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из</m:t>
                </m:r>
              </m:sub>
            </m:sSub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).</m:t>
        </m:r>
      </m:oMath>
    </w:p>
    <w:p w:rsidR="007E7688" w:rsidRPr="00DC1503" w:rsidRDefault="007E7688" w:rsidP="007E768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>В расчетах учитывается каждый слой в многослойной теплоизоляции.</w:t>
      </w:r>
    </w:p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6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затраты энергии на перемешивание биомассы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мех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>. На основании экспериментальных данных затраты энергии на перемешивание механическими мешалками можно принять равными 30…60 Вт/м</w:t>
      </w:r>
      <w:r w:rsidRPr="004C3E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при режиме: 4 ч работы и 7 ч паузы.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потребную энергию на поддержание процесса брожения за сутки, по </w:t>
      </w:r>
      <w:proofErr w:type="gram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на собственные нужды: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под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+24∙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пот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мех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  МДж/сут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определяется полезный выход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определяется количество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для продажи, за вычетом из общего объема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на собственные нужды. 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. Определяют потенциальн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запасы энергии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выра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ботанного</w:t>
      </w:r>
      <w:proofErr w:type="gram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за сутки: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выр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тн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  МДж/сут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б</m:t>
            </m:r>
          </m:sub>
        </m:sSub>
      </m:oMath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– теплотворная способность биогаза, МДж/м</w:t>
      </w:r>
      <w:r w:rsidRPr="00977A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. Определяют полезную энергию от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выр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  МДж/сут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0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. Определяют коэффициент товарности </w:t>
      </w:r>
      <w:proofErr w:type="spellStart"/>
      <w:r w:rsidRPr="00DC1503">
        <w:rPr>
          <w:rFonts w:ascii="Times New Roman" w:hAnsi="Times New Roman" w:cs="Times New Roman"/>
          <w:color w:val="000000"/>
          <w:sz w:val="28"/>
          <w:szCs w:val="28"/>
        </w:rPr>
        <w:t>биогазовой</w:t>
      </w:r>
      <w:proofErr w:type="spellEnd"/>
      <w:r w:rsidRPr="00DC150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выр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выр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∙100%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считать,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биогазовые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вырабатывают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350 дней, еще 15 дней отводится на их профилактическое обслуживание.</w:t>
      </w:r>
    </w:p>
    <w:p w:rsidR="007E7688" w:rsidRDefault="007E7688" w:rsidP="007E76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Экономия условного топлива за счет выработанного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биогаза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определится как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w:lastRenderedPageBreak/>
                <m:t>Э=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Э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∙350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29,3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, МДж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DC1503" w:rsidRDefault="007E7688" w:rsidP="007E7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б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выработка биогазовым оборудование полезной энергии, МДж.</w:t>
      </w:r>
    </w:p>
    <w:p w:rsidR="007E7688" w:rsidRPr="00B12607" w:rsidRDefault="007E7688" w:rsidP="007E7688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bookmarkStart w:id="1" w:name="_Toc351798765"/>
      <w:bookmarkStart w:id="2" w:name="_Toc352519654"/>
      <w:r w:rsidRPr="00B12607">
        <w:rPr>
          <w:rFonts w:ascii="Times New Roman" w:eastAsiaTheme="minorHAnsi" w:hAnsi="Times New Roman"/>
          <w:sz w:val="28"/>
          <w:lang w:eastAsia="en-US"/>
        </w:rPr>
        <w:t xml:space="preserve">На основе оценки энергетического эффекта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биогазовой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 установки </w:t>
      </w:r>
      <w:proofErr w:type="gramStart"/>
      <w:r w:rsidRPr="00B12607">
        <w:rPr>
          <w:rFonts w:ascii="Times New Roman" w:eastAsiaTheme="minorHAnsi" w:hAnsi="Times New Roman"/>
          <w:sz w:val="28"/>
          <w:lang w:eastAsia="en-US"/>
        </w:rPr>
        <w:t>появляется</w:t>
      </w:r>
      <w:proofErr w:type="gramEnd"/>
      <w:r w:rsidRPr="00B12607">
        <w:rPr>
          <w:rFonts w:ascii="Times New Roman" w:eastAsiaTheme="minorHAnsi" w:hAnsi="Times New Roman"/>
          <w:sz w:val="28"/>
          <w:lang w:eastAsia="en-US"/>
        </w:rPr>
        <w:t xml:space="preserve"> возможно определить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валовый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 потенциал энергии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биогаза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 xml:space="preserve"> п</w:t>
      </w:r>
      <w:r w:rsidRPr="00B12607">
        <w:rPr>
          <w:rFonts w:ascii="Times New Roman" w:eastAsiaTheme="minorHAnsi" w:hAnsi="Times New Roman"/>
          <w:sz w:val="28"/>
          <w:lang w:eastAsia="en-US"/>
        </w:rPr>
        <w:t>о формуле:</w:t>
      </w:r>
      <w:bookmarkEnd w:id="1"/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БГУ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∙277,78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lang w:eastAsia="en-US"/>
                </w:rPr>
                <m:t>кВт·ч/сут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B12607" w:rsidRDefault="007E7688" w:rsidP="007E7688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lang w:eastAsia="en-US"/>
        </w:rPr>
      </w:pPr>
      <w:r w:rsidRPr="00B12607">
        <w:rPr>
          <w:rFonts w:ascii="Times New Roman" w:eastAsiaTheme="minorHAnsi" w:hAnsi="Times New Roman"/>
          <w:sz w:val="28"/>
          <w:lang w:eastAsia="en-US"/>
        </w:rPr>
        <w:t xml:space="preserve">Данный показатель отражает теоретический электрический потенциал энергии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биогаза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 без учета КПД генерирующей установки (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когенератора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). </w:t>
      </w:r>
    </w:p>
    <w:p w:rsidR="007E7688" w:rsidRDefault="007E7688" w:rsidP="007E7688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14.</w:t>
      </w:r>
      <w:r w:rsidRPr="00B12607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Валовый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 пот</w:t>
      </w:r>
      <w:r>
        <w:rPr>
          <w:rFonts w:ascii="Times New Roman" w:eastAsiaTheme="minorHAnsi" w:hAnsi="Times New Roman"/>
          <w:sz w:val="28"/>
          <w:lang w:eastAsia="en-US"/>
        </w:rPr>
        <w:t xml:space="preserve">енциал тепловой энергии 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биогаза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БГУ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БГУ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∙0,86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lang w:eastAsia="en-US"/>
                </w:rPr>
                <m:t>ГКалл/сут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Default="007E7688" w:rsidP="007E7688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15.</w:t>
      </w:r>
      <w:r w:rsidRPr="00B12607">
        <w:rPr>
          <w:rFonts w:ascii="Times New Roman" w:eastAsiaTheme="minorHAnsi" w:hAnsi="Times New Roman"/>
          <w:sz w:val="28"/>
          <w:lang w:eastAsia="en-US"/>
        </w:rPr>
        <w:t xml:space="preserve"> Теоретический потенциал (средняя мощность), которую может поддерживать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биогазовая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gramStart"/>
      <w:r w:rsidRPr="00B12607">
        <w:rPr>
          <w:rFonts w:ascii="Times New Roman" w:eastAsiaTheme="minorHAnsi" w:hAnsi="Times New Roman"/>
          <w:sz w:val="28"/>
          <w:lang w:eastAsia="en-US"/>
        </w:rPr>
        <w:t>установка</w:t>
      </w:r>
      <w:proofErr w:type="gramEnd"/>
      <w:r w:rsidRPr="00B12607">
        <w:rPr>
          <w:rFonts w:ascii="Times New Roman" w:eastAsiaTheme="minorHAnsi" w:hAnsi="Times New Roman"/>
          <w:sz w:val="28"/>
          <w:lang w:eastAsia="en-US"/>
        </w:rPr>
        <w:t xml:space="preserve"> на протяжении длительного времени исходя из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биогазового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 потенциала животноводческого предприятия</w:t>
      </w:r>
      <w:r>
        <w:rPr>
          <w:rFonts w:ascii="Times New Roman" w:eastAsiaTheme="minorHAnsi" w:hAnsi="Times New Roman"/>
          <w:sz w:val="28"/>
          <w:lang w:eastAsia="en-US"/>
        </w:rPr>
        <w:t>:</w:t>
      </w:r>
      <w:r w:rsidRPr="00B12607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6"/>
      </w:tblGrid>
      <w:tr w:rsidR="007E7688" w:rsidTr="00796B78">
        <w:tc>
          <w:tcPr>
            <w:tcW w:w="8897" w:type="dxa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БГУ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8"/>
                  <w:lang w:eastAsia="en-US"/>
                </w:rPr>
                <m:t>кВт</m:t>
              </m:r>
            </m:oMath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56" w:type="dxa"/>
            <w:vAlign w:val="center"/>
          </w:tcPr>
          <w:p w:rsidR="007E7688" w:rsidRDefault="007E7688" w:rsidP="007E7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D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7688" w:rsidRPr="00B12607" w:rsidRDefault="007E7688" w:rsidP="007E7688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B12607">
        <w:rPr>
          <w:rFonts w:ascii="Times New Roman" w:eastAsiaTheme="minorHAnsi" w:hAnsi="Times New Roman"/>
          <w:sz w:val="28"/>
          <w:lang w:eastAsia="en-US"/>
        </w:rPr>
        <w:t>Представленные выше показатели</w:t>
      </w:r>
      <w:r>
        <w:rPr>
          <w:rFonts w:ascii="Times New Roman" w:eastAsiaTheme="minorHAnsi" w:hAnsi="Times New Roman"/>
          <w:sz w:val="28"/>
          <w:lang w:eastAsia="en-US"/>
        </w:rPr>
        <w:t>,</w:t>
      </w:r>
      <w:r w:rsidRPr="00B12607">
        <w:rPr>
          <w:rFonts w:ascii="Times New Roman" w:eastAsiaTheme="minorHAnsi" w:hAnsi="Times New Roman"/>
          <w:sz w:val="28"/>
          <w:lang w:eastAsia="en-US"/>
        </w:rPr>
        <w:t xml:space="preserve"> отражаю</w:t>
      </w:r>
      <w:r>
        <w:rPr>
          <w:rFonts w:ascii="Times New Roman" w:eastAsiaTheme="minorHAnsi" w:hAnsi="Times New Roman"/>
          <w:sz w:val="28"/>
          <w:lang w:eastAsia="en-US"/>
        </w:rPr>
        <w:t>щие</w:t>
      </w:r>
      <w:r w:rsidRPr="00B12607">
        <w:rPr>
          <w:rFonts w:ascii="Times New Roman" w:eastAsiaTheme="minorHAnsi" w:hAnsi="Times New Roman"/>
          <w:sz w:val="28"/>
          <w:lang w:eastAsia="en-US"/>
        </w:rPr>
        <w:t xml:space="preserve"> теоретический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валовый</w:t>
      </w:r>
      <w:proofErr w:type="spellEnd"/>
      <w:r w:rsidRPr="00B12607">
        <w:rPr>
          <w:rFonts w:ascii="Times New Roman" w:eastAsiaTheme="minorHAnsi" w:hAnsi="Times New Roman"/>
          <w:sz w:val="28"/>
          <w:lang w:eastAsia="en-US"/>
        </w:rPr>
        <w:t xml:space="preserve"> потенциал </w:t>
      </w:r>
      <w:proofErr w:type="spellStart"/>
      <w:r w:rsidRPr="00B12607">
        <w:rPr>
          <w:rFonts w:ascii="Times New Roman" w:eastAsiaTheme="minorHAnsi" w:hAnsi="Times New Roman"/>
          <w:sz w:val="28"/>
          <w:lang w:eastAsia="en-US"/>
        </w:rPr>
        <w:t>биогаза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>, можно</w:t>
      </w:r>
      <w:r w:rsidRPr="00B12607">
        <w:rPr>
          <w:rFonts w:ascii="Times New Roman" w:eastAsiaTheme="minorHAnsi" w:hAnsi="Times New Roman"/>
          <w:sz w:val="28"/>
          <w:lang w:eastAsia="en-US"/>
        </w:rPr>
        <w:t xml:space="preserve"> привяз</w:t>
      </w:r>
      <w:r>
        <w:rPr>
          <w:rFonts w:ascii="Times New Roman" w:eastAsiaTheme="minorHAnsi" w:hAnsi="Times New Roman"/>
          <w:sz w:val="28"/>
          <w:lang w:eastAsia="en-US"/>
        </w:rPr>
        <w:t>ать</w:t>
      </w:r>
      <w:r w:rsidRPr="00B12607">
        <w:rPr>
          <w:rFonts w:ascii="Times New Roman" w:eastAsiaTheme="minorHAnsi" w:hAnsi="Times New Roman"/>
          <w:sz w:val="28"/>
          <w:lang w:eastAsia="en-US"/>
        </w:rPr>
        <w:t xml:space="preserve"> к конкретному животноводческому предприятию Красноярского края. </w:t>
      </w:r>
    </w:p>
    <w:p w:rsidR="001C2703" w:rsidRDefault="001C2703" w:rsidP="002A72A8">
      <w:pPr>
        <w:spacing w:after="0" w:line="360" w:lineRule="auto"/>
      </w:pPr>
    </w:p>
    <w:p w:rsidR="002A72A8" w:rsidRDefault="002A72A8" w:rsidP="002A72A8">
      <w:pPr>
        <w:pStyle w:val="2"/>
        <w:spacing w:before="0"/>
      </w:pPr>
      <w:r>
        <w:t>Список литературы:</w:t>
      </w:r>
    </w:p>
    <w:p w:rsidR="007E7688" w:rsidRPr="00D30390" w:rsidRDefault="007E7688" w:rsidP="007E768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390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D30390">
        <w:rPr>
          <w:rFonts w:ascii="Times New Roman" w:hAnsi="Times New Roman" w:cs="Times New Roman"/>
          <w:sz w:val="28"/>
          <w:szCs w:val="28"/>
        </w:rPr>
        <w:t>биогазовой</w:t>
      </w:r>
      <w:proofErr w:type="spellEnd"/>
      <w:r w:rsidRPr="00D30390">
        <w:rPr>
          <w:rFonts w:ascii="Times New Roman" w:hAnsi="Times New Roman" w:cs="Times New Roman"/>
          <w:sz w:val="28"/>
          <w:szCs w:val="28"/>
        </w:rPr>
        <w:t xml:space="preserve">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DA1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– Режим доступа: </w:t>
      </w:r>
      <w:hyperlink r:id="rId8" w:history="1">
        <w:r w:rsidRPr="007E76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http://biogaz-russia.ru/proekt-biogazovojj-ustanovki/</w:t>
        </w:r>
      </w:hyperlink>
    </w:p>
    <w:p w:rsidR="002A72A8" w:rsidRPr="007E7688" w:rsidRDefault="007E7688" w:rsidP="002A72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Шерьязов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Пташкина-Гирина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r w:rsidRPr="00F254C6">
        <w:rPr>
          <w:rFonts w:ascii="Times New Roman" w:hAnsi="Times New Roman" w:cs="Times New Roman"/>
          <w:color w:val="000000"/>
          <w:sz w:val="28"/>
          <w:szCs w:val="28"/>
        </w:rPr>
        <w:t>С. Использование возобновляемых источников энергии в сельском хозяйстве [Текст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254C6">
        <w:rPr>
          <w:rFonts w:ascii="Times New Roman" w:hAnsi="Times New Roman" w:cs="Times New Roman"/>
          <w:color w:val="000000"/>
          <w:sz w:val="28"/>
          <w:szCs w:val="28"/>
        </w:rPr>
        <w:t>: учебное пособие /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54C6">
        <w:rPr>
          <w:rFonts w:ascii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F254C6">
        <w:rPr>
          <w:rFonts w:ascii="Times New Roman" w:hAnsi="Times New Roman" w:cs="Times New Roman"/>
          <w:color w:val="000000"/>
          <w:sz w:val="28"/>
          <w:szCs w:val="28"/>
        </w:rPr>
        <w:t>Шерьязов</w:t>
      </w:r>
      <w:proofErr w:type="spellEnd"/>
      <w:r w:rsidRPr="00F254C6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54C6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254C6">
        <w:rPr>
          <w:rFonts w:ascii="Times New Roman" w:hAnsi="Times New Roman" w:cs="Times New Roman"/>
          <w:color w:val="000000"/>
          <w:sz w:val="28"/>
          <w:szCs w:val="28"/>
        </w:rPr>
        <w:t>Пташкина-Гирина</w:t>
      </w:r>
      <w:proofErr w:type="spellEnd"/>
      <w:r w:rsidRPr="00F254C6">
        <w:rPr>
          <w:rFonts w:ascii="Times New Roman" w:hAnsi="Times New Roman" w:cs="Times New Roman"/>
          <w:color w:val="000000"/>
          <w:sz w:val="28"/>
          <w:szCs w:val="28"/>
        </w:rPr>
        <w:t>. – Челябинск: ЧГАА, 2013. – 280 с.</w:t>
      </w:r>
    </w:p>
    <w:sectPr w:rsidR="002A72A8" w:rsidRPr="007E7688" w:rsidSect="002A72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4D8"/>
    <w:multiLevelType w:val="multilevel"/>
    <w:tmpl w:val="F88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66B33"/>
    <w:multiLevelType w:val="multilevel"/>
    <w:tmpl w:val="925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2421"/>
    <w:multiLevelType w:val="multilevel"/>
    <w:tmpl w:val="A05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2B32"/>
    <w:multiLevelType w:val="multilevel"/>
    <w:tmpl w:val="970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D6406"/>
    <w:multiLevelType w:val="multilevel"/>
    <w:tmpl w:val="086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A37D8"/>
    <w:multiLevelType w:val="multilevel"/>
    <w:tmpl w:val="3986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B707D"/>
    <w:multiLevelType w:val="multilevel"/>
    <w:tmpl w:val="971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54B2"/>
    <w:multiLevelType w:val="multilevel"/>
    <w:tmpl w:val="129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C192A"/>
    <w:multiLevelType w:val="multilevel"/>
    <w:tmpl w:val="1962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1BCC"/>
    <w:multiLevelType w:val="multilevel"/>
    <w:tmpl w:val="410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C0A5A"/>
    <w:multiLevelType w:val="multilevel"/>
    <w:tmpl w:val="8C86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721BC"/>
    <w:multiLevelType w:val="multilevel"/>
    <w:tmpl w:val="E78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E0930"/>
    <w:multiLevelType w:val="multilevel"/>
    <w:tmpl w:val="45F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C45C2"/>
    <w:multiLevelType w:val="multilevel"/>
    <w:tmpl w:val="AB70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7098F"/>
    <w:multiLevelType w:val="multilevel"/>
    <w:tmpl w:val="DCB4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F5004"/>
    <w:multiLevelType w:val="multilevel"/>
    <w:tmpl w:val="ECE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47B2B"/>
    <w:multiLevelType w:val="multilevel"/>
    <w:tmpl w:val="E37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F79A4"/>
    <w:multiLevelType w:val="multilevel"/>
    <w:tmpl w:val="C72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97D"/>
    <w:multiLevelType w:val="hybridMultilevel"/>
    <w:tmpl w:val="67189D7E"/>
    <w:lvl w:ilvl="0" w:tplc="1C5C6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72A8"/>
    <w:rsid w:val="001C2703"/>
    <w:rsid w:val="002A72A8"/>
    <w:rsid w:val="007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03"/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2A72A8"/>
    <w:pPr>
      <w:keepNext/>
      <w:keepLines/>
      <w:spacing w:before="8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"/>
    <w:basedOn w:val="a0"/>
    <w:link w:val="2"/>
    <w:uiPriority w:val="9"/>
    <w:rsid w:val="002A72A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link w:val="a4"/>
    <w:uiPriority w:val="34"/>
    <w:qFormat/>
    <w:rsid w:val="002A72A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72A8"/>
  </w:style>
  <w:style w:type="table" w:styleId="a5">
    <w:name w:val="Table Grid"/>
    <w:basedOn w:val="a1"/>
    <w:uiPriority w:val="59"/>
    <w:rsid w:val="007E7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768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gaz-russia.ru/proekt-biogazovojj-ustanov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gaz-russia.ru/sostav_bioga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gaz-russia.ru/biogazovye_stancii.html" TargetMode="External"/><Relationship Id="rId5" Type="http://schemas.openxmlformats.org/officeDocument/2006/relationships/hyperlink" Target="http://biogaz-russia.ru/biogaz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Макеева</dc:creator>
  <cp:keywords/>
  <dc:description/>
  <cp:lastModifiedBy>Юлия Макеева</cp:lastModifiedBy>
  <cp:revision>3</cp:revision>
  <dcterms:created xsi:type="dcterms:W3CDTF">2019-09-19T06:42:00Z</dcterms:created>
  <dcterms:modified xsi:type="dcterms:W3CDTF">2019-09-19T07:15:00Z</dcterms:modified>
</cp:coreProperties>
</file>