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F7F" w:rsidRDefault="0088739F">
      <w:pPr>
        <w:pStyle w:val="1"/>
      </w:pPr>
      <w:r>
        <w:t>Семенов В.А.</w:t>
      </w:r>
      <w:r>
        <w:rPr>
          <w:vertAlign w:val="superscript"/>
        </w:rPr>
        <w:t>1</w:t>
      </w:r>
      <w:r>
        <w:t>, Орлова А.С.</w:t>
      </w:r>
      <w:r>
        <w:rPr>
          <w:vertAlign w:val="superscript"/>
        </w:rPr>
        <w:t>2</w:t>
      </w:r>
      <w:r>
        <w:t xml:space="preserve"> </w:t>
      </w:r>
    </w:p>
    <w:p w:rsidR="00A73F7F" w:rsidRDefault="0088739F">
      <w:pPr>
        <w:spacing w:after="0" w:line="269" w:lineRule="auto"/>
        <w:jc w:val="center"/>
      </w:pPr>
      <w:r>
        <w:rPr>
          <w:vertAlign w:val="superscript"/>
        </w:rPr>
        <w:t>1</w:t>
      </w:r>
      <w:r>
        <w:t xml:space="preserve">Студент кафедры Радиоэлектроника, </w:t>
      </w:r>
      <w:r>
        <w:rPr>
          <w:vertAlign w:val="superscript"/>
        </w:rPr>
        <w:t>2</w:t>
      </w:r>
      <w:r>
        <w:t xml:space="preserve">студент кафедры Радиоэлектроника </w:t>
      </w:r>
      <w:r w:rsidRPr="0088739F">
        <w:t>ФГБОУ ВО Донской государственный технический университет</w:t>
      </w:r>
      <w:r>
        <w:t xml:space="preserve">  </w:t>
      </w:r>
    </w:p>
    <w:p w:rsidR="00A73F7F" w:rsidRDefault="008873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F7F" w:rsidRDefault="0088739F">
      <w:pPr>
        <w:pStyle w:val="1"/>
        <w:spacing w:after="134"/>
      </w:pPr>
      <w:r>
        <w:t xml:space="preserve">МАТЕМАТИЧЕСКОЕ МОДЕЛИРОВАНИЕ ХАРАКТЕРИСТИК ЧУВСТВИТЕЛЬНОГО ЭЛЕМЕНТА ГОЛОГРАФИЧЕСКОГО ИЗМЕРИТЕЛЯ УРОВНЯ ДИСПЕРСИИ </w:t>
      </w:r>
    </w:p>
    <w:p w:rsidR="00A73F7F" w:rsidRDefault="0088739F">
      <w:pPr>
        <w:pStyle w:val="2"/>
      </w:pPr>
      <w:r>
        <w:t>Аннотация</w:t>
      </w:r>
      <w:r>
        <w:t xml:space="preserve"> </w:t>
      </w:r>
    </w:p>
    <w:p w:rsidR="00A73F7F" w:rsidRDefault="0088739F">
      <w:pPr>
        <w:spacing w:after="162" w:line="238" w:lineRule="auto"/>
        <w:ind w:left="0" w:right="58" w:firstLine="708"/>
      </w:pPr>
      <w:r>
        <w:rPr>
          <w:i/>
        </w:rPr>
        <w:t>В данной статье авторами выполнено моделирование характеристик чувствительного элемента для измерения дисперсии в оптическом волокн</w:t>
      </w:r>
      <w:r>
        <w:rPr>
          <w:i/>
        </w:rPr>
        <w:t xml:space="preserve">е, сделаны выводы о целесообразности применения голографического измерителя в составе линии волоконно-оптической связи, а также при проведении входного контроля оптического волокна. </w:t>
      </w:r>
    </w:p>
    <w:p w:rsidR="00A73F7F" w:rsidRDefault="0088739F">
      <w:pPr>
        <w:ind w:left="718" w:right="477"/>
      </w:pPr>
      <w:r>
        <w:rPr>
          <w:b/>
        </w:rPr>
        <w:t>Ключевые слова:</w:t>
      </w:r>
      <w:r>
        <w:rPr>
          <w:b/>
          <w:i/>
        </w:rPr>
        <w:t xml:space="preserve"> </w:t>
      </w:r>
      <w:r>
        <w:t xml:space="preserve">голография, чувствительный элемент, дисперсия. </w:t>
      </w: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proofErr w:type="spellStart"/>
      <w:r>
        <w:t>holography</w:t>
      </w:r>
      <w:proofErr w:type="spellEnd"/>
      <w:r>
        <w:t xml:space="preserve">,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, </w:t>
      </w:r>
      <w:proofErr w:type="spellStart"/>
      <w:r>
        <w:t>dispersion</w:t>
      </w:r>
      <w:proofErr w:type="spellEnd"/>
      <w:r>
        <w:t xml:space="preserve">. </w:t>
      </w:r>
    </w:p>
    <w:p w:rsidR="00A73F7F" w:rsidRDefault="008873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F7F" w:rsidRDefault="0088739F">
      <w:pPr>
        <w:ind w:left="-15" w:right="45" w:firstLine="708"/>
      </w:pPr>
      <w:r>
        <w:t xml:space="preserve">При построении линий связи необходимо использовать такое оптическое волокно (ОВ), в котором уровень затухания сигнала будет наименьшим, а уровень дисперсии минимальным. Так как это обеспечит передачу сигнала с </w:t>
      </w:r>
      <w:r>
        <w:t xml:space="preserve">минимальными потерями и на большее расстояние. Таким образом, необходимо обеспечить надежность, износостойкость, качество и долговечность оптических кабелей в составе линии связи. Следовательно задача точного измерения дисперсии является актуальной. </w:t>
      </w:r>
    </w:p>
    <w:p w:rsidR="00A73F7F" w:rsidRDefault="0088739F">
      <w:pPr>
        <w:ind w:left="-15" w:right="45" w:firstLine="708"/>
      </w:pPr>
      <w:r>
        <w:t>Извес</w:t>
      </w:r>
      <w:r>
        <w:t xml:space="preserve">тно, что точность измерения дисперсии в оптическом волокне ограничивается чувствительностью измерительных устройств </w:t>
      </w:r>
      <w:r>
        <w:t>[1]</w:t>
      </w:r>
      <w:r>
        <w:t xml:space="preserve">. В голографическом устройстве измерений его чувствительность определяется чувствительностью </w:t>
      </w:r>
      <w:proofErr w:type="spellStart"/>
      <w:r>
        <w:t>пьезоэлемента</w:t>
      </w:r>
      <w:proofErr w:type="spellEnd"/>
      <w:r>
        <w:t xml:space="preserve"> к величине модулирующего элект</w:t>
      </w:r>
      <w:r>
        <w:t xml:space="preserve">рического напряжения, а также чувствительностью голографического интерферометра к величине перемещения поверхности </w:t>
      </w:r>
      <w:proofErr w:type="spellStart"/>
      <w:r>
        <w:t>пьезоэлемента</w:t>
      </w:r>
      <w:proofErr w:type="spellEnd"/>
      <w:r>
        <w:t xml:space="preserve"> под воздействием этого напряжения </w:t>
      </w:r>
      <w:r>
        <w:t>[2</w:t>
      </w:r>
      <w:r>
        <w:t xml:space="preserve">, </w:t>
      </w:r>
      <w:r>
        <w:t>3]</w:t>
      </w:r>
      <w:r>
        <w:t xml:space="preserve">.  </w:t>
      </w:r>
    </w:p>
    <w:p w:rsidR="00A73F7F" w:rsidRDefault="0088739F">
      <w:pPr>
        <w:ind w:left="-15" w:right="45" w:firstLine="708"/>
      </w:pPr>
      <w:r>
        <w:t>Для моделирования характеристик чувствительного элемента голографического измерител</w:t>
      </w:r>
      <w:r>
        <w:t xml:space="preserve">я уровня дисперсии необходимо применять условие </w:t>
      </w:r>
      <w:proofErr w:type="spellStart"/>
      <w:r>
        <w:t>противофазности</w:t>
      </w:r>
      <w:proofErr w:type="spellEnd"/>
      <w:r>
        <w:t xml:space="preserve">, моделирование производится пакетом прикладных программ </w:t>
      </w:r>
      <w:proofErr w:type="spellStart"/>
      <w:r>
        <w:rPr>
          <w:i/>
        </w:rPr>
        <w:t>MathCad</w:t>
      </w:r>
      <w:proofErr w:type="spellEnd"/>
      <w:r>
        <w:t xml:space="preserve"> 15.  Условие </w:t>
      </w:r>
      <w:proofErr w:type="spellStart"/>
      <w:r>
        <w:t>противофазности</w:t>
      </w:r>
      <w:proofErr w:type="spellEnd"/>
      <w:r>
        <w:t>:</w:t>
      </w:r>
      <w:r>
        <w:t xml:space="preserve"> </w:t>
      </w:r>
    </w:p>
    <w:p w:rsidR="00A73F7F" w:rsidRDefault="0088739F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A73F7F" w:rsidRDefault="0088739F">
      <w:pPr>
        <w:tabs>
          <w:tab w:val="center" w:pos="4506"/>
          <w:tab w:val="center" w:pos="6240"/>
          <w:tab w:val="center" w:pos="6948"/>
          <w:tab w:val="center" w:pos="7656"/>
          <w:tab w:val="center" w:pos="8364"/>
          <w:tab w:val="right" w:pos="941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 xml:space="preserve">r </w:t>
      </w:r>
      <w:r>
        <w:rPr>
          <w:rFonts w:ascii="Segoe UI Symbol" w:eastAsia="Segoe UI Symbol" w:hAnsi="Segoe UI Symbol" w:cs="Segoe UI Symbol"/>
        </w:rPr>
        <w:t>=</w:t>
      </w:r>
      <w:r>
        <w:t>2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h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2"/>
        </w:rPr>
        <w:t>(</w:t>
      </w:r>
      <w:r>
        <w:t>2</w:t>
      </w:r>
      <w:r>
        <w:rPr>
          <w:i/>
        </w:rPr>
        <w:t>n</w:t>
      </w:r>
      <w:r>
        <w:rPr>
          <w:rFonts w:ascii="Segoe UI Symbol" w:eastAsia="Segoe UI Symbol" w:hAnsi="Segoe UI Symbol" w:cs="Segoe UI Symbol"/>
        </w:rPr>
        <w:t>+</w:t>
      </w:r>
      <w:r>
        <w:t>1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noProof/>
        </w:rPr>
        <w:drawing>
          <wp:inline distT="0" distB="0" distL="0" distR="0">
            <wp:extent cx="109728" cy="323088"/>
            <wp:effectExtent l="0" t="0" r="0" b="0"/>
            <wp:docPr id="4545" name="Picture 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" name="Picture 4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(1) </w:t>
      </w:r>
    </w:p>
    <w:p w:rsidR="00A73F7F" w:rsidRDefault="0088739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73F7F" w:rsidRDefault="0088739F">
      <w:pPr>
        <w:ind w:left="730" w:right="45"/>
      </w:pPr>
      <w:r>
        <w:t xml:space="preserve">Выразим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из (1): </w:t>
      </w:r>
    </w:p>
    <w:p w:rsidR="00A73F7F" w:rsidRDefault="008873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73F7F" w:rsidRDefault="0088739F">
      <w:pPr>
        <w:tabs>
          <w:tab w:val="center" w:pos="4170"/>
          <w:tab w:val="center" w:pos="5532"/>
          <w:tab w:val="center" w:pos="6240"/>
          <w:tab w:val="center" w:pos="6948"/>
          <w:tab w:val="center" w:pos="7656"/>
          <w:tab w:val="center" w:pos="8364"/>
          <w:tab w:val="right" w:pos="9413"/>
        </w:tabs>
        <w:spacing w:after="10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h</w:t>
      </w:r>
      <w:r>
        <w:rPr>
          <w:rFonts w:ascii="Segoe UI Symbol" w:eastAsia="Segoe UI Symbol" w:hAnsi="Segoe UI Symbol" w:cs="Segoe UI Symbol"/>
        </w:rPr>
        <w:t>=</w:t>
      </w:r>
      <w:r>
        <w:rPr>
          <w:noProof/>
        </w:rPr>
        <w:drawing>
          <wp:inline distT="0" distB="0" distL="0" distR="0">
            <wp:extent cx="545592" cy="359664"/>
            <wp:effectExtent l="0" t="0" r="0" b="0"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(2) </w:t>
      </w:r>
    </w:p>
    <w:p w:rsidR="00A73F7F" w:rsidRDefault="0088739F">
      <w:pPr>
        <w:spacing w:after="134" w:line="259" w:lineRule="auto"/>
        <w:ind w:left="0" w:right="0" w:firstLine="0"/>
        <w:jc w:val="right"/>
      </w:pPr>
      <w:r>
        <w:t xml:space="preserve"> </w:t>
      </w:r>
    </w:p>
    <w:p w:rsidR="00A73F7F" w:rsidRDefault="0088739F">
      <w:pPr>
        <w:ind w:left="-5" w:right="45"/>
      </w:pPr>
      <w:r>
        <w:t xml:space="preserve">где λ/2 </w:t>
      </w:r>
      <w:r>
        <w:t>–</w:t>
      </w:r>
      <w:r>
        <w:t xml:space="preserve"> дополнительная разность хода, возникающая при отражении луча от поверхности </w:t>
      </w:r>
      <w:r>
        <w:rPr>
          <w:i/>
        </w:rPr>
        <w:t>R</w:t>
      </w:r>
      <w:r>
        <w:t xml:space="preserve">. </w:t>
      </w:r>
    </w:p>
    <w:p w:rsidR="00A73F7F" w:rsidRDefault="0088739F">
      <w:pPr>
        <w:ind w:left="-15" w:right="45" w:firstLine="720"/>
      </w:pPr>
      <w:r>
        <w:t xml:space="preserve">Воспользуемся условием </w:t>
      </w:r>
      <w:proofErr w:type="spellStart"/>
      <w:r>
        <w:t>противофазности</w:t>
      </w:r>
      <w:proofErr w:type="spellEnd"/>
      <w:r>
        <w:t xml:space="preserve">. Приравняем </w:t>
      </w:r>
      <w:r>
        <w:rPr>
          <w:rFonts w:ascii="Cambria Math" w:eastAsia="Cambria Math" w:hAnsi="Cambria Math" w:cs="Cambria Math"/>
        </w:rPr>
        <w:t>δ</w:t>
      </w:r>
      <w:r>
        <w:rPr>
          <w:rFonts w:ascii="Cambria Math" w:eastAsia="Cambria Math" w:hAnsi="Cambria Math" w:cs="Cambria Math"/>
          <w:vertAlign w:val="subscript"/>
        </w:rPr>
        <w:t>𝐿𝐿</w:t>
      </w:r>
      <w:r>
        <w:t xml:space="preserve"> к величине, кратной половине длины волны: </w:t>
      </w:r>
    </w:p>
    <w:p w:rsidR="00A73F7F" w:rsidRDefault="008873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73F7F" w:rsidRDefault="0088739F">
      <w:pPr>
        <w:spacing w:after="0" w:line="259" w:lineRule="auto"/>
        <w:ind w:left="47" w:right="0" w:firstLine="0"/>
        <w:jc w:val="center"/>
      </w:pPr>
      <w:r>
        <w:rPr>
          <w:sz w:val="19"/>
        </w:rPr>
        <w:lastRenderedPageBreak/>
        <w:t>2</w:t>
      </w:r>
    </w:p>
    <w:p w:rsidR="00A73F7F" w:rsidRDefault="0088739F">
      <w:pPr>
        <w:spacing w:after="0" w:line="259" w:lineRule="auto"/>
        <w:ind w:left="10" w:right="460"/>
        <w:jc w:val="center"/>
      </w:pPr>
      <w:r>
        <w:rPr>
          <w:rFonts w:ascii="Segoe UI Symbol" w:eastAsia="Segoe UI Symbol" w:hAnsi="Segoe UI Symbol" w:cs="Segoe UI Symbol"/>
          <w:sz w:val="22"/>
        </w:rPr>
        <w:t></w:t>
      </w:r>
      <w:r>
        <w:rPr>
          <w:i/>
          <w:sz w:val="22"/>
        </w:rPr>
        <w:t>h</w:t>
      </w:r>
      <w:r>
        <w:rPr>
          <w:rFonts w:ascii="Segoe UI Symbol" w:eastAsia="Segoe UI Symbol" w:hAnsi="Segoe UI Symbol" w:cs="Segoe UI Symbol"/>
          <w:sz w:val="22"/>
        </w:rPr>
        <w:t></w:t>
      </w:r>
    </w:p>
    <w:p w:rsidR="00A73F7F" w:rsidRDefault="0088739F">
      <w:pPr>
        <w:spacing w:after="0" w:line="259" w:lineRule="auto"/>
        <w:ind w:left="10" w:right="142"/>
        <w:jc w:val="center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r>
        <w:rPr>
          <w:sz w:val="22"/>
        </w:rPr>
        <w:t>1</w:t>
      </w:r>
      <w:r>
        <w:rPr>
          <w:rFonts w:ascii="Segoe UI Symbol" w:eastAsia="Segoe UI Symbol" w:hAnsi="Segoe UI Symbol" w:cs="Segoe UI Symbol"/>
          <w:sz w:val="22"/>
        </w:rPr>
        <w:t xml:space="preserve">+  </w:t>
      </w:r>
      <w:r>
        <w:rPr>
          <w:rFonts w:ascii="Segoe UI Symbol" w:eastAsia="Segoe UI Symbol" w:hAnsi="Segoe UI Symbol" w:cs="Segoe UI Symbol"/>
          <w:sz w:val="30"/>
        </w:rPr>
        <w:t>(</w:t>
      </w:r>
      <w:r>
        <w:rPr>
          <w:sz w:val="22"/>
        </w:rPr>
        <w:t>2</w:t>
      </w:r>
      <w:r>
        <w:rPr>
          <w:i/>
          <w:sz w:val="22"/>
        </w:rPr>
        <w:t>n</w:t>
      </w:r>
      <w:r>
        <w:rPr>
          <w:rFonts w:ascii="Segoe UI Symbol" w:eastAsia="Segoe UI Symbol" w:hAnsi="Segoe UI Symbol" w:cs="Segoe UI Symbol"/>
          <w:sz w:val="22"/>
        </w:rPr>
        <w:t>+</w:t>
      </w:r>
      <w:r>
        <w:rPr>
          <w:sz w:val="22"/>
        </w:rPr>
        <w:t>1</w:t>
      </w:r>
      <w:r>
        <w:rPr>
          <w:rFonts w:ascii="Segoe UI Symbol" w:eastAsia="Segoe UI Symbol" w:hAnsi="Segoe UI Symbol" w:cs="Segoe UI Symbol"/>
          <w:sz w:val="30"/>
        </w:rPr>
        <w:t>)</w:t>
      </w:r>
      <w:r>
        <w:rPr>
          <w:sz w:val="22"/>
        </w:rPr>
        <w:t>λ</w:t>
      </w:r>
    </w:p>
    <w:p w:rsidR="00A73F7F" w:rsidRDefault="0088739F">
      <w:pPr>
        <w:tabs>
          <w:tab w:val="center" w:pos="4476"/>
          <w:tab w:val="center" w:pos="5665"/>
          <w:tab w:val="center" w:pos="6240"/>
          <w:tab w:val="center" w:pos="6948"/>
          <w:tab w:val="center" w:pos="7656"/>
          <w:tab w:val="center" w:pos="8364"/>
          <w:tab w:val="right" w:pos="941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</w:t>
      </w:r>
      <w:r>
        <w:rPr>
          <w:i/>
          <w:sz w:val="22"/>
        </w:rPr>
        <w:t>L</w:t>
      </w:r>
      <w:r>
        <w:rPr>
          <w:rFonts w:ascii="Segoe UI Symbol" w:eastAsia="Segoe UI Symbol" w:hAnsi="Segoe UI Symbol" w:cs="Segoe UI Symbol"/>
          <w:sz w:val="22"/>
        </w:rPr>
        <w:t></w:t>
      </w:r>
      <w:r>
        <w:rPr>
          <w:rFonts w:ascii="Segoe UI Symbol" w:eastAsia="Segoe UI Symbol" w:hAnsi="Segoe UI Symbol" w:cs="Segoe UI Symbol"/>
          <w:sz w:val="22"/>
        </w:rPr>
        <w:tab/>
      </w:r>
      <w:r>
        <w:t>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(3</w:t>
      </w:r>
      <w:r>
        <w:t xml:space="preserve">) </w:t>
      </w:r>
    </w:p>
    <w:p w:rsidR="00A73F7F" w:rsidRDefault="0088739F">
      <w:pPr>
        <w:spacing w:after="0" w:line="259" w:lineRule="auto"/>
        <w:ind w:left="3160" w:right="0" w:firstLine="0"/>
        <w:jc w:val="left"/>
      </w:pPr>
      <w:r>
        <w:rPr>
          <w:rFonts w:ascii="Segoe UI Symbol" w:eastAsia="Segoe UI Symbol" w:hAnsi="Segoe UI Symbol" w:cs="Segoe UI Symbol"/>
          <w:sz w:val="22"/>
        </w:rPr>
        <w:t>∆</w:t>
      </w:r>
      <w:r>
        <w:rPr>
          <w:i/>
          <w:sz w:val="22"/>
        </w:rPr>
        <w:t>L</w:t>
      </w:r>
      <w:r>
        <w:rPr>
          <w:rFonts w:ascii="Segoe UI Symbol" w:eastAsia="Segoe UI Symbol" w:hAnsi="Segoe UI Symbol" w:cs="Segoe UI Symbol"/>
          <w:sz w:val="34"/>
          <w:vertAlign w:val="subscript"/>
        </w:rPr>
        <w:t>=</w:t>
      </w:r>
    </w:p>
    <w:p w:rsidR="00A73F7F" w:rsidRDefault="0088739F">
      <w:pPr>
        <w:tabs>
          <w:tab w:val="center" w:pos="3892"/>
          <w:tab w:val="center" w:pos="4837"/>
          <w:tab w:val="center" w:pos="52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</w:t>
      </w:r>
      <w:r>
        <w:rPr>
          <w:rFonts w:ascii="Segoe UI Symbol" w:eastAsia="Segoe UI Symbol" w:hAnsi="Segoe UI Symbol" w:cs="Segoe UI Symbol"/>
          <w:sz w:val="22"/>
        </w:rPr>
        <w:tab/>
      </w:r>
      <w:r>
        <w:rPr>
          <w:sz w:val="19"/>
        </w:rPr>
        <w:t>2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22"/>
        </w:rPr>
        <w:t></w:t>
      </w:r>
    </w:p>
    <w:p w:rsidR="00A73F7F" w:rsidRDefault="0088739F">
      <w:pPr>
        <w:tabs>
          <w:tab w:val="center" w:pos="3892"/>
          <w:tab w:val="center" w:pos="4583"/>
          <w:tab w:val="center" w:pos="52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</w:t>
      </w:r>
      <w:r>
        <w:rPr>
          <w:rFonts w:ascii="Segoe UI Symbol" w:eastAsia="Segoe UI Symbol" w:hAnsi="Segoe UI Symbol" w:cs="Segoe UI Symbol"/>
          <w:sz w:val="22"/>
        </w:rPr>
        <w:tab/>
        <w:t></w:t>
      </w:r>
      <w:r>
        <w:rPr>
          <w:i/>
          <w:sz w:val="22"/>
        </w:rPr>
        <w:t>h</w:t>
      </w:r>
      <w:r>
        <w:rPr>
          <w:rFonts w:ascii="Segoe UI Symbol" w:eastAsia="Segoe UI Symbol" w:hAnsi="Segoe UI Symbol" w:cs="Segoe UI Symbol"/>
          <w:sz w:val="22"/>
        </w:rPr>
        <w:t></w:t>
      </w:r>
      <w:r>
        <w:rPr>
          <w:rFonts w:ascii="Segoe UI Symbol" w:eastAsia="Segoe UI Symbol" w:hAnsi="Segoe UI Symbol" w:cs="Segoe UI Symbol"/>
          <w:sz w:val="22"/>
        </w:rPr>
        <w:tab/>
        <w:t></w:t>
      </w:r>
    </w:p>
    <w:p w:rsidR="00A73F7F" w:rsidRDefault="0088739F">
      <w:pPr>
        <w:spacing w:after="71" w:line="259" w:lineRule="auto"/>
        <w:ind w:left="10" w:right="142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2333926</wp:posOffset>
                </wp:positionH>
                <wp:positionV relativeFrom="paragraph">
                  <wp:posOffset>-711710</wp:posOffset>
                </wp:positionV>
                <wp:extent cx="1218890" cy="903657"/>
                <wp:effectExtent l="0" t="0" r="0" b="0"/>
                <wp:wrapNone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890" cy="903657"/>
                          <a:chOff x="0" y="0"/>
                          <a:chExt cx="1218890" cy="903657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457510" y="246721"/>
                            <a:ext cx="103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3">
                                <a:moveTo>
                                  <a:pt x="0" y="0"/>
                                </a:moveTo>
                                <a:lnTo>
                                  <a:pt x="103053" y="0"/>
                                </a:lnTo>
                              </a:path>
                            </a:pathLst>
                          </a:custGeom>
                          <a:ln w="29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9663" y="262997"/>
                            <a:ext cx="18497" cy="1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" h="10357">
                                <a:moveTo>
                                  <a:pt x="0" y="10357"/>
                                </a:moveTo>
                                <a:lnTo>
                                  <a:pt x="18497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38159" y="265956"/>
                            <a:ext cx="26801" cy="15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1" h="159795">
                                <a:moveTo>
                                  <a:pt x="0" y="0"/>
                                </a:moveTo>
                                <a:lnTo>
                                  <a:pt x="26801" y="159795"/>
                                </a:lnTo>
                              </a:path>
                            </a:pathLst>
                          </a:custGeom>
                          <a:ln w="1183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67980" y="0"/>
                            <a:ext cx="35483" cy="42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425751">
                                <a:moveTo>
                                  <a:pt x="0" y="425751"/>
                                </a:moveTo>
                                <a:lnTo>
                                  <a:pt x="35483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03464" y="0"/>
                            <a:ext cx="515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63">
                                <a:moveTo>
                                  <a:pt x="0" y="0"/>
                                </a:moveTo>
                                <a:lnTo>
                                  <a:pt x="515263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25456" y="724627"/>
                            <a:ext cx="103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3">
                                <a:moveTo>
                                  <a:pt x="0" y="0"/>
                                </a:moveTo>
                                <a:lnTo>
                                  <a:pt x="103053" y="0"/>
                                </a:lnTo>
                              </a:path>
                            </a:pathLst>
                          </a:custGeom>
                          <a:ln w="29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87609" y="740902"/>
                            <a:ext cx="18497" cy="1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" h="10357">
                                <a:moveTo>
                                  <a:pt x="0" y="10357"/>
                                </a:moveTo>
                                <a:lnTo>
                                  <a:pt x="18497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06106" y="743862"/>
                            <a:ext cx="26801" cy="15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1" h="159795">
                                <a:moveTo>
                                  <a:pt x="0" y="0"/>
                                </a:moveTo>
                                <a:lnTo>
                                  <a:pt x="26801" y="159795"/>
                                </a:lnTo>
                              </a:path>
                            </a:pathLst>
                          </a:custGeom>
                          <a:ln w="1183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35927" y="477907"/>
                            <a:ext cx="35483" cy="42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425751">
                                <a:moveTo>
                                  <a:pt x="0" y="425751"/>
                                </a:moveTo>
                                <a:lnTo>
                                  <a:pt x="35483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71410" y="477907"/>
                            <a:ext cx="515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63">
                                <a:moveTo>
                                  <a:pt x="0" y="0"/>
                                </a:moveTo>
                                <a:lnTo>
                                  <a:pt x="515263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447205"/>
                            <a:ext cx="1218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90">
                                <a:moveTo>
                                  <a:pt x="0" y="0"/>
                                </a:moveTo>
                                <a:lnTo>
                                  <a:pt x="1218890" y="0"/>
                                </a:lnTo>
                              </a:path>
                            </a:pathLst>
                          </a:custGeom>
                          <a:ln w="591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6" style="width:95.9756pt;height:71.1541pt;position:absolute;z-index:-2147483641;mso-position-horizontal-relative:text;mso-position-horizontal:absolute;margin-left:183.774pt;mso-position-vertical-relative:text;margin-top:-56.0403pt;" coordsize="12188,9036">
                <v:shape id="Shape 364" style="position:absolute;width:1030;height:0;left:4575;top:2467;" coordsize="103053,0" path="m0,0l103053,0">
                  <v:stroke weight="0.233006pt" endcap="square" joinstyle="miter" miterlimit="10" on="true" color="#000000"/>
                  <v:fill on="false" color="#000000" opacity="0"/>
                </v:shape>
                <v:shape id="Shape 365" style="position:absolute;width:184;height:103;left:1196;top:2629;" coordsize="18497,10357" path="m0,10357l18497,0">
                  <v:stroke weight="0.466011pt" endcap="square" joinstyle="miter" miterlimit="10" on="true" color="#000000"/>
                  <v:fill on="false" color="#000000" opacity="0"/>
                </v:shape>
                <v:shape id="Shape 366" style="position:absolute;width:268;height:1597;left:1381;top:2659;" coordsize="26801,159795" path="m0,0l26801,159795">
                  <v:stroke weight="0.932022pt" endcap="square" joinstyle="miter" miterlimit="10" on="true" color="#000000"/>
                  <v:fill on="false" color="#000000" opacity="0"/>
                </v:shape>
                <v:shape id="Shape 367" style="position:absolute;width:354;height:4257;left:1679;top:0;" coordsize="35483,425751" path="m0,425751l35483,0">
                  <v:stroke weight="0.466011pt" endcap="square" joinstyle="miter" miterlimit="10" on="true" color="#000000"/>
                  <v:fill on="false" color="#000000" opacity="0"/>
                </v:shape>
                <v:shape id="Shape 368" style="position:absolute;width:5152;height:0;left:2034;top:0;" coordsize="515263,0" path="m0,0l515263,0">
                  <v:stroke weight="0.466011pt" endcap="square" joinstyle="miter" miterlimit="10" on="true" color="#000000"/>
                  <v:fill on="false" color="#000000" opacity="0"/>
                </v:shape>
                <v:shape id="Shape 371" style="position:absolute;width:1030;height:0;left:5254;top:7246;" coordsize="103053,0" path="m0,0l103053,0">
                  <v:stroke weight="0.233006pt" endcap="square" joinstyle="miter" miterlimit="10" on="true" color="#000000"/>
                  <v:fill on="false" color="#000000" opacity="0"/>
                </v:shape>
                <v:shape id="Shape 372" style="position:absolute;width:184;height:103;left:1876;top:7409;" coordsize="18497,10357" path="m0,10357l18497,0">
                  <v:stroke weight="0.466011pt" endcap="square" joinstyle="miter" miterlimit="10" on="true" color="#000000"/>
                  <v:fill on="false" color="#000000" opacity="0"/>
                </v:shape>
                <v:shape id="Shape 373" style="position:absolute;width:268;height:1597;left:2061;top:7438;" coordsize="26801,159795" path="m0,0l26801,159795">
                  <v:stroke weight="0.932022pt" endcap="square" joinstyle="miter" miterlimit="10" on="true" color="#000000"/>
                  <v:fill on="false" color="#000000" opacity="0"/>
                </v:shape>
                <v:shape id="Shape 374" style="position:absolute;width:354;height:4257;left:2359;top:4779;" coordsize="35483,425751" path="m0,425751l35483,0">
                  <v:stroke weight="0.466011pt" endcap="square" joinstyle="miter" miterlimit="10" on="true" color="#000000"/>
                  <v:fill on="false" color="#000000" opacity="0"/>
                </v:shape>
                <v:shape id="Shape 375" style="position:absolute;width:5152;height:0;left:2714;top:4779;" coordsize="515263,0" path="m0,0l515263,0">
                  <v:stroke weight="0.466011pt" endcap="square" joinstyle="miter" miterlimit="10" on="true" color="#000000"/>
                  <v:fill on="false" color="#000000" opacity="0"/>
                </v:shape>
                <v:shape id="Shape 376" style="position:absolute;width:12188;height:0;left:0;top:4472;" coordsize="1218890,0" path="m0,0l1218890,0">
                  <v:stroke weight="0.466011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2"/>
        </w:rPr>
        <w:t>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r>
        <w:rPr>
          <w:sz w:val="22"/>
        </w:rPr>
        <w:t>1</w:t>
      </w:r>
      <w:r>
        <w:rPr>
          <w:rFonts w:ascii="Segoe UI Symbol" w:eastAsia="Segoe UI Symbol" w:hAnsi="Segoe UI Symbol" w:cs="Segoe UI Symbol"/>
          <w:sz w:val="22"/>
        </w:rPr>
        <w:t>+</w:t>
      </w:r>
      <w:r>
        <w:rPr>
          <w:i/>
          <w:sz w:val="22"/>
        </w:rPr>
        <w:t>L</w:t>
      </w:r>
      <w:r>
        <w:rPr>
          <w:rFonts w:ascii="Segoe UI Symbol" w:eastAsia="Segoe UI Symbol" w:hAnsi="Segoe UI Symbol" w:cs="Segoe UI Symbol"/>
          <w:sz w:val="22"/>
        </w:rPr>
        <w:t></w:t>
      </w:r>
      <w:r>
        <w:rPr>
          <w:rFonts w:ascii="Segoe UI Symbol" w:eastAsia="Segoe UI Symbol" w:hAnsi="Segoe UI Symbol" w:cs="Segoe UI Symbol"/>
          <w:sz w:val="22"/>
        </w:rPr>
        <w:t xml:space="preserve"> −</w:t>
      </w:r>
      <w:r>
        <w:rPr>
          <w:sz w:val="22"/>
        </w:rPr>
        <w:t>1</w:t>
      </w:r>
      <w:r>
        <w:rPr>
          <w:rFonts w:ascii="Segoe UI Symbol" w:eastAsia="Segoe UI Symbol" w:hAnsi="Segoe UI Symbol" w:cs="Segoe UI Symbol"/>
          <w:sz w:val="22"/>
        </w:rPr>
        <w:t></w:t>
      </w:r>
      <w:r>
        <w:rPr>
          <w:sz w:val="22"/>
        </w:rPr>
        <w:t>2</w:t>
      </w:r>
    </w:p>
    <w:p w:rsidR="00A73F7F" w:rsidRDefault="0088739F">
      <w:pPr>
        <w:tabs>
          <w:tab w:val="center" w:pos="3892"/>
          <w:tab w:val="center" w:pos="52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</w:t>
      </w:r>
      <w:r>
        <w:rPr>
          <w:rFonts w:ascii="Segoe UI Symbol" w:eastAsia="Segoe UI Symbol" w:hAnsi="Segoe UI Symbol" w:cs="Segoe UI Symbol"/>
          <w:sz w:val="22"/>
        </w:rPr>
        <w:tab/>
        <w:t></w:t>
      </w:r>
    </w:p>
    <w:p w:rsidR="00A73F7F" w:rsidRDefault="0088739F">
      <w:pPr>
        <w:spacing w:after="10"/>
        <w:ind w:left="10" w:right="-15"/>
        <w:jc w:val="right"/>
      </w:pPr>
      <w:r>
        <w:t xml:space="preserve"> где </w:t>
      </w:r>
      <w:r>
        <w:rPr>
          <w:i/>
        </w:rPr>
        <w:t>h</w:t>
      </w:r>
      <w:r>
        <w:t xml:space="preserve"> = 2</w:t>
      </w:r>
      <w:r>
        <w:rPr>
          <w:i/>
        </w:rPr>
        <w:t>а</w:t>
      </w:r>
      <w:r>
        <w:t xml:space="preserve">. </w:t>
      </w:r>
    </w:p>
    <w:p w:rsidR="00A73F7F" w:rsidRDefault="0088739F">
      <w:pPr>
        <w:spacing w:after="0" w:line="259" w:lineRule="auto"/>
        <w:ind w:left="3463" w:right="0" w:firstLine="0"/>
        <w:jc w:val="left"/>
      </w:pPr>
      <w:r>
        <w:rPr>
          <w:i/>
          <w:sz w:val="28"/>
        </w:rPr>
        <w:t>h</w:t>
      </w:r>
    </w:p>
    <w:p w:rsidR="00A73F7F" w:rsidRDefault="0088739F">
      <w:pPr>
        <w:ind w:left="3459" w:right="45" w:hanging="2751"/>
      </w:pPr>
      <w:r>
        <w:t xml:space="preserve">При выполнении условия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1868" cy="631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68" cy="6310"/>
                          <a:chOff x="0" y="0"/>
                          <a:chExt cx="121868" cy="6310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121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68">
                                <a:moveTo>
                                  <a:pt x="0" y="0"/>
                                </a:moveTo>
                                <a:lnTo>
                                  <a:pt x="121868" y="0"/>
                                </a:lnTo>
                              </a:path>
                            </a:pathLst>
                          </a:custGeom>
                          <a:ln w="63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7" style="width:9.59592pt;height:0.496875pt;mso-position-horizontal-relative:char;mso-position-vertical-relative:line" coordsize="1218,63">
                <v:shape id="Shape 436" style="position:absolute;width:1218;height:0;left:0;top:0;" coordsize="121868,0" path="m0,0l121868,0">
                  <v:stroke weight="0.4968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8"/>
        </w:rPr>
        <w:t>&gt;&gt;</w:t>
      </w:r>
      <w:r>
        <w:rPr>
          <w:sz w:val="28"/>
        </w:rPr>
        <w:t>1</w:t>
      </w:r>
      <w:r>
        <w:t xml:space="preserve">, выражение 3 может быть представлено в виде: </w:t>
      </w:r>
      <w:r>
        <w:rPr>
          <w:i/>
          <w:sz w:val="28"/>
        </w:rPr>
        <w:t>L</w:t>
      </w:r>
    </w:p>
    <w:p w:rsidR="00A73F7F" w:rsidRDefault="008873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73F7F" w:rsidRDefault="0088739F">
      <w:pPr>
        <w:tabs>
          <w:tab w:val="center" w:pos="4273"/>
          <w:tab w:val="center" w:pos="5532"/>
          <w:tab w:val="center" w:pos="6240"/>
          <w:tab w:val="center" w:pos="6948"/>
          <w:tab w:val="center" w:pos="7656"/>
          <w:tab w:val="center" w:pos="8364"/>
          <w:tab w:val="right" w:pos="941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L</w:t>
      </w:r>
      <w:r>
        <w:rPr>
          <w:rFonts w:ascii="Segoe UI Symbol" w:eastAsia="Segoe UI Symbol" w:hAnsi="Segoe UI Symbol" w:cs="Segoe UI Symbol"/>
        </w:rPr>
        <w:t>=−</w:t>
      </w:r>
      <w:r>
        <w:rPr>
          <w:noProof/>
        </w:rPr>
        <w:drawing>
          <wp:inline distT="0" distB="0" distL="0" distR="0">
            <wp:extent cx="545592" cy="359664"/>
            <wp:effectExtent l="0" t="0" r="0" b="0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(4</w:t>
      </w:r>
      <w:r>
        <w:t xml:space="preserve">) </w:t>
      </w:r>
    </w:p>
    <w:p w:rsidR="00A73F7F" w:rsidRDefault="0088739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73F7F" w:rsidRDefault="0088739F">
      <w:pPr>
        <w:ind w:left="-15" w:right="45" w:firstLine="708"/>
      </w:pPr>
      <w:r>
        <w:t xml:space="preserve">Используя соотношения (1) и (4) и, проводя математическое моделирование, исследуем чувствительность голографического интерферометра в схеме устройства измерения дисперсии </w:t>
      </w:r>
      <w:r>
        <w:t>[</w:t>
      </w:r>
      <w:r>
        <w:t>4, 5</w:t>
      </w:r>
      <w:r>
        <w:t>]</w:t>
      </w:r>
      <w:r>
        <w:t>. Результаты исследования представлены в виде графических зависимостей на рисун</w:t>
      </w:r>
      <w:r>
        <w:t xml:space="preserve">ках (1) </w:t>
      </w:r>
      <w:r>
        <w:t>–</w:t>
      </w:r>
      <w:r>
        <w:t xml:space="preserve"> </w:t>
      </w:r>
      <w:r>
        <w:t>(</w:t>
      </w:r>
      <w:r>
        <w:t xml:space="preserve">3). </w:t>
      </w:r>
    </w:p>
    <w:p w:rsidR="00A73F7F" w:rsidRDefault="0088739F">
      <w:pPr>
        <w:ind w:left="-15" w:right="45" w:firstLine="708"/>
      </w:pPr>
      <w:r>
        <w:t xml:space="preserve">На рисунке 1 представлены графические зависимости параметров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и Δ</w:t>
      </w:r>
      <w:r>
        <w:rPr>
          <w:i/>
        </w:rPr>
        <w:t>L</w:t>
      </w:r>
      <w:r>
        <w:t xml:space="preserve"> от номера интерференционного порядка </w:t>
      </w:r>
      <w:r>
        <w:rPr>
          <w:i/>
        </w:rPr>
        <w:t>n</w:t>
      </w:r>
      <w:r>
        <w:t xml:space="preserve">, где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</w:t>
      </w:r>
      <w:r>
        <w:t>–</w:t>
      </w:r>
      <w:r>
        <w:t xml:space="preserve"> чувствительность голографического интерферометра к нормальным перемещениям поверхности </w:t>
      </w:r>
      <w:proofErr w:type="spellStart"/>
      <w:r>
        <w:t>пьезоэлемента</w:t>
      </w:r>
      <w:proofErr w:type="spellEnd"/>
      <w:r>
        <w:t xml:space="preserve"> в схеме устройства из</w:t>
      </w:r>
      <w:r>
        <w:t>мерений, а Δ</w:t>
      </w:r>
      <w:r>
        <w:rPr>
          <w:i/>
        </w:rPr>
        <w:t>L</w:t>
      </w:r>
      <w:r>
        <w:t xml:space="preserve"> </w:t>
      </w:r>
      <w:r>
        <w:t>–</w:t>
      </w:r>
      <w:r>
        <w:t xml:space="preserve"> чувствительность к его тангенциальным перемещениям относительно плоскости </w:t>
      </w:r>
      <w:proofErr w:type="spellStart"/>
      <w:r>
        <w:t>фурье</w:t>
      </w:r>
      <w:proofErr w:type="spellEnd"/>
      <w:r>
        <w:t>-</w:t>
      </w:r>
      <w:r>
        <w:t xml:space="preserve">голограммы. </w:t>
      </w:r>
    </w:p>
    <w:p w:rsidR="00A73F7F" w:rsidRDefault="0088739F">
      <w:pPr>
        <w:spacing w:after="93"/>
        <w:ind w:left="-15" w:right="45" w:firstLine="708"/>
      </w:pPr>
      <w:r>
        <w:t xml:space="preserve">Из анализа графических зависимостей, представленных на рисунке 1, можно сделать вывод, что чувствительность голографического интерферометра в схеме устройства измерения уровня дисперсии оптического волокна к нормальным перемещениям поверхности </w:t>
      </w:r>
      <w:proofErr w:type="spellStart"/>
      <w:r>
        <w:t>пьезоэлемент</w:t>
      </w:r>
      <w:r>
        <w:t>а</w:t>
      </w:r>
      <w:proofErr w:type="spellEnd"/>
      <w:r>
        <w:t xml:space="preserve"> в два раза выше, чем к тангенциальным. </w:t>
      </w:r>
    </w:p>
    <w:p w:rsidR="00A73F7F" w:rsidRDefault="0088739F">
      <w:pPr>
        <w:spacing w:after="0" w:line="259" w:lineRule="auto"/>
        <w:ind w:left="0" w:right="97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01112" cy="2628900"/>
                <wp:effectExtent l="0" t="0" r="0" b="0"/>
                <wp:docPr id="4038" name="Group 4038" descr="C:\Users\11\Pictures\чб1 (2)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112" cy="2628900"/>
                          <a:chOff x="0" y="0"/>
                          <a:chExt cx="4701112" cy="2628900"/>
                        </a:xfrm>
                      </wpg:grpSpPr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112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" name="Rectangle 528"/>
                        <wps:cNvSpPr/>
                        <wps:spPr>
                          <a:xfrm>
                            <a:off x="808180" y="1414521"/>
                            <a:ext cx="95847" cy="134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F7F" w:rsidRDefault="008873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757915" y="1414630"/>
                            <a:ext cx="37558" cy="13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F7F" w:rsidRDefault="008873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809449" y="1188459"/>
                            <a:ext cx="95847" cy="134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F7F" w:rsidRDefault="008873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759149" y="1188569"/>
                            <a:ext cx="37558" cy="13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F7F" w:rsidRDefault="008873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8" style="width:370.166pt;height:207pt;mso-position-horizontal-relative:char;mso-position-vertical-relative:line" coordsize="47011,26289">
                <v:shape id="Picture 527" style="position:absolute;width:47011;height:26289;left:0;top:0;" filled="f">
                  <v:imagedata r:id="rId9"/>
                </v:shape>
                <v:rect id="Rectangle 528" style="position:absolute;width:958;height:1348;left:8081;top:14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8"/>
                          </w:rPr>
                          <w:t xml:space="preserve">м</w:t>
                        </w:r>
                      </w:p>
                    </w:txbxContent>
                  </v:textbox>
                </v:rect>
                <v:rect id="Rectangle 529" style="position:absolute;width:375;height:1347;left:7579;top:14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530" style="position:absolute;width:958;height:1348;left:8094;top:11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8"/>
                          </w:rPr>
                          <w:t xml:space="preserve">м</w:t>
                        </w:r>
                      </w:p>
                    </w:txbxContent>
                  </v:textbox>
                </v:rect>
                <v:rect id="Rectangle 531" style="position:absolute;width:375;height:1347;left:7591;top:1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A73F7F" w:rsidRDefault="0088739F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A73F7F" w:rsidRDefault="0088739F">
      <w:pPr>
        <w:spacing w:after="0" w:line="269" w:lineRule="auto"/>
        <w:ind w:right="553"/>
        <w:jc w:val="center"/>
      </w:pPr>
      <w:r>
        <w:t xml:space="preserve">Рисунок 1 </w:t>
      </w:r>
      <w:r>
        <w:t>–</w:t>
      </w:r>
      <w:r>
        <w:t xml:space="preserve"> Зависимость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и Δ</w:t>
      </w:r>
      <w:r>
        <w:rPr>
          <w:i/>
        </w:rPr>
        <w:t>L</w:t>
      </w:r>
      <w:r>
        <w:t xml:space="preserve"> от номера интерференционного порядка </w:t>
      </w:r>
      <w:r>
        <w:rPr>
          <w:i/>
        </w:rPr>
        <w:t xml:space="preserve">n </w:t>
      </w:r>
    </w:p>
    <w:p w:rsidR="00A73F7F" w:rsidRDefault="0088739F">
      <w:pPr>
        <w:spacing w:after="0" w:line="259" w:lineRule="auto"/>
        <w:ind w:left="0" w:right="2" w:firstLine="0"/>
        <w:jc w:val="center"/>
      </w:pPr>
      <w:r>
        <w:lastRenderedPageBreak/>
        <w:t xml:space="preserve"> </w:t>
      </w:r>
    </w:p>
    <w:p w:rsidR="00A73F7F" w:rsidRDefault="0088739F">
      <w:pPr>
        <w:ind w:left="-15" w:right="45" w:firstLine="708"/>
      </w:pPr>
      <w:r>
        <w:t xml:space="preserve">С ростом номера интерференционного порядка чувствительность падает по нелинейному закону </w:t>
      </w:r>
      <w:r>
        <w:t>[6]</w:t>
      </w:r>
      <w:r>
        <w:t xml:space="preserve">, что видно на графике. При этом для интерференционных полос более высоких порядков падение чувствительности с ростом их номера выше. Графики строились для условия </w:t>
      </w:r>
      <w:r>
        <w:t xml:space="preserve">смены разности фаз интерферирующих световых потоков в зоне интерференции на </w:t>
      </w:r>
      <w:r>
        <w:rPr>
          <w:rFonts w:ascii="Segoe UI Symbol" w:eastAsia="Segoe UI Symbol" w:hAnsi="Segoe UI Symbol" w:cs="Segoe UI Symbol"/>
        </w:rPr>
        <w:t>π</w:t>
      </w:r>
      <w:r>
        <w:t xml:space="preserve">. </w:t>
      </w:r>
    </w:p>
    <w:p w:rsidR="00A73F7F" w:rsidRDefault="0088739F">
      <w:pPr>
        <w:ind w:left="-15" w:right="45" w:firstLine="708"/>
      </w:pPr>
      <w:r>
        <w:t xml:space="preserve">На рисунке 2 представлены графические зависимости чувствительности голографического интерферометра к нормальным перемещениям поверхности </w:t>
      </w:r>
      <w:proofErr w:type="spellStart"/>
      <w:r>
        <w:t>пьезоэлемента</w:t>
      </w:r>
      <w:proofErr w:type="spellEnd"/>
      <w:r>
        <w:t xml:space="preserve"> в схеме устройства измере</w:t>
      </w:r>
      <w:r>
        <w:t>ний от длины волны оптического излучения для интерференционных полос нулевого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h</w:t>
      </w:r>
      <w:r>
        <w:t>), первого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b</w:t>
      </w:r>
      <w:r>
        <w:t>), второго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m</w:t>
      </w:r>
      <w:r>
        <w:t>), третьего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p</w:t>
      </w:r>
      <w:r>
        <w:t>) и четвёртого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q</w:t>
      </w:r>
      <w:r>
        <w:t xml:space="preserve">) интерференционных порядков.  </w:t>
      </w:r>
    </w:p>
    <w:p w:rsidR="00A73F7F" w:rsidRDefault="0088739F">
      <w:pPr>
        <w:ind w:left="-15" w:right="45" w:firstLine="720"/>
      </w:pPr>
      <w:r>
        <w:t xml:space="preserve">Из анализа графиков, представленных на рисунке 2, видно, что с ростом длины волны </w:t>
      </w:r>
      <w:r>
        <w:t>оптического излучения чувствительность устройства измерений ухудшается по линейному закону. При этом, чем выше номер интерференционного порядка, тем быстрее падает чувствительность измерителя. Графики строились для условия смены разности фаз интерферирующи</w:t>
      </w:r>
      <w:r>
        <w:t xml:space="preserve">х световых потоков в зоне интерференции на </w:t>
      </w:r>
      <w:r>
        <w:rPr>
          <w:rFonts w:ascii="Segoe UI Symbol" w:eastAsia="Segoe UI Symbol" w:hAnsi="Segoe UI Symbol" w:cs="Segoe UI Symbol"/>
        </w:rPr>
        <w:t>π</w:t>
      </w:r>
      <w:r>
        <w:t xml:space="preserve">. </w:t>
      </w:r>
    </w:p>
    <w:p w:rsidR="00A73F7F" w:rsidRDefault="008873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73F7F" w:rsidRDefault="0088739F">
      <w:pPr>
        <w:spacing w:after="0" w:line="259" w:lineRule="auto"/>
        <w:ind w:left="1807" w:right="0" w:firstLine="0"/>
        <w:jc w:val="left"/>
      </w:pPr>
      <w:r>
        <w:rPr>
          <w:noProof/>
        </w:rPr>
        <w:drawing>
          <wp:inline distT="0" distB="0" distL="0" distR="0">
            <wp:extent cx="3643630" cy="2819392"/>
            <wp:effectExtent l="0" t="0" r="0" b="0"/>
            <wp:docPr id="599" name="Picture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8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3F7F" w:rsidRDefault="0088739F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A73F7F" w:rsidRDefault="0088739F">
      <w:pPr>
        <w:ind w:left="2216" w:right="45"/>
      </w:pPr>
      <w:r>
        <w:t xml:space="preserve">Рисунок 2 </w:t>
      </w:r>
      <w:r>
        <w:t>–</w:t>
      </w:r>
      <w:r>
        <w:t xml:space="preserve"> Зависимость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от значений длины волны λ </w:t>
      </w:r>
    </w:p>
    <w:p w:rsidR="00A73F7F" w:rsidRDefault="0088739F">
      <w:pPr>
        <w:tabs>
          <w:tab w:val="center" w:pos="720"/>
          <w:tab w:val="center" w:pos="6377"/>
        </w:tabs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18"/>
        </w:rPr>
        <w:t xml:space="preserve">, </w:t>
      </w:r>
      <w:r>
        <w:rPr>
          <w:i/>
          <w:sz w:val="18"/>
        </w:rPr>
        <w:t>м</w:t>
      </w:r>
    </w:p>
    <w:p w:rsidR="00A73F7F" w:rsidRDefault="0088739F">
      <w:pPr>
        <w:spacing w:after="0" w:line="259" w:lineRule="auto"/>
        <w:ind w:left="1616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883924" cy="2641600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3924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3F7F" w:rsidRDefault="0088739F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A73F7F" w:rsidRDefault="0088739F">
      <w:pPr>
        <w:ind w:left="2081" w:right="45"/>
      </w:pPr>
      <w:r>
        <w:t xml:space="preserve">Рисунок 3 </w:t>
      </w:r>
      <w:r>
        <w:t>–</w:t>
      </w:r>
      <w:r>
        <w:t xml:space="preserve"> Зависимость Δ</w:t>
      </w:r>
      <w:r>
        <w:rPr>
          <w:i/>
        </w:rPr>
        <w:t>L</w:t>
      </w:r>
      <w:r>
        <w:t xml:space="preserve"> и </w:t>
      </w:r>
      <w:proofErr w:type="spellStart"/>
      <w:r>
        <w:t>Δ</w:t>
      </w:r>
      <w:r>
        <w:rPr>
          <w:i/>
        </w:rPr>
        <w:t>h</w:t>
      </w:r>
      <w:proofErr w:type="spellEnd"/>
      <w:r>
        <w:t xml:space="preserve"> от значений λ при </w:t>
      </w:r>
      <w:r>
        <w:rPr>
          <w:i/>
        </w:rPr>
        <w:t>n</w:t>
      </w:r>
      <w:r>
        <w:t>=0</w:t>
      </w:r>
      <w:r>
        <w:t xml:space="preserve"> </w:t>
      </w:r>
    </w:p>
    <w:p w:rsidR="00A73F7F" w:rsidRDefault="0088739F">
      <w:pPr>
        <w:spacing w:after="0" w:line="259" w:lineRule="auto"/>
        <w:ind w:left="564" w:right="0" w:firstLine="0"/>
        <w:jc w:val="center"/>
      </w:pPr>
      <w:r>
        <w:t xml:space="preserve"> </w:t>
      </w:r>
    </w:p>
    <w:p w:rsidR="00A73F7F" w:rsidRDefault="0088739F">
      <w:pPr>
        <w:spacing w:after="0" w:line="259" w:lineRule="auto"/>
        <w:ind w:left="564" w:right="0" w:firstLine="0"/>
        <w:jc w:val="center"/>
      </w:pPr>
      <w:r>
        <w:t xml:space="preserve"> </w:t>
      </w:r>
    </w:p>
    <w:p w:rsidR="00A73F7F" w:rsidRDefault="0088739F">
      <w:pPr>
        <w:ind w:left="-15" w:right="45" w:firstLine="566"/>
      </w:pPr>
      <w:r>
        <w:t>На рисунке 3 для сравнения представлены графические зависимости чувствительности голографического устройства измерений величины нормальных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h</w:t>
      </w:r>
      <w:r>
        <w:t>) и тангенциальных (</w:t>
      </w:r>
      <w:r>
        <w:rPr>
          <w:rFonts w:ascii="Segoe UI Symbol" w:eastAsia="Segoe UI Symbol" w:hAnsi="Segoe UI Symbol" w:cs="Segoe UI Symbol"/>
        </w:rPr>
        <w:t>∆</w:t>
      </w:r>
      <w:r>
        <w:rPr>
          <w:i/>
        </w:rPr>
        <w:t>L</w:t>
      </w:r>
      <w:r>
        <w:t xml:space="preserve">) поверхности </w:t>
      </w:r>
      <w:proofErr w:type="spellStart"/>
      <w:r>
        <w:t>пьезоэлемента</w:t>
      </w:r>
      <w:proofErr w:type="spellEnd"/>
      <w:r>
        <w:t xml:space="preserve"> в схеме голографического устройства измерения уровня дисперсии о</w:t>
      </w:r>
      <w:r>
        <w:t xml:space="preserve">т длины волны оптического излучения для интерференционных полос нулевого порядка. Графики строились для условия смены разности фаз интерферирующих световых потоков в зоне интерференции на </w:t>
      </w:r>
      <w:r>
        <w:rPr>
          <w:rFonts w:ascii="Segoe UI Symbol" w:eastAsia="Segoe UI Symbol" w:hAnsi="Segoe UI Symbol" w:cs="Segoe UI Symbol"/>
        </w:rPr>
        <w:t>π</w:t>
      </w:r>
      <w:r>
        <w:t xml:space="preserve">. </w:t>
      </w:r>
    </w:p>
    <w:p w:rsidR="00A73F7F" w:rsidRDefault="0088739F">
      <w:pPr>
        <w:ind w:left="-15" w:right="45" w:firstLine="708"/>
      </w:pPr>
      <w:r>
        <w:t>Из представленных графиков видно, что, с ростом длины волны опти</w:t>
      </w:r>
      <w:r>
        <w:t xml:space="preserve">ческого излучения, чувствительность устройства измерений падает по линейному закону. При этом чувствительность к тангенциальным перемещениям падает быстрее, чем к нормальным. </w:t>
      </w:r>
    </w:p>
    <w:p w:rsidR="00A73F7F" w:rsidRDefault="0088739F">
      <w:pPr>
        <w:ind w:left="-15" w:right="45" w:firstLine="708"/>
      </w:pPr>
      <w:r>
        <w:t xml:space="preserve">Таким образом, оптическая схема рассмотренного голографического чувствительного </w:t>
      </w:r>
      <w:r>
        <w:t>элемента устройства измерения уровня дисперсии ОВ обеспечивает максимальную чувствительность к изменениям параметров кривизны сферического волнового фронта, анализируемого светового потока, для интерференционных полос нулевого порядка при нормальном переме</w:t>
      </w:r>
      <w:r>
        <w:t xml:space="preserve">щении точечного источника света составляет λ/4, а при тангенциальных перемещениях составляет λ/2. </w:t>
      </w:r>
    </w:p>
    <w:p w:rsidR="00A73F7F" w:rsidRDefault="0088739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73F7F" w:rsidRDefault="0088739F">
      <w:pPr>
        <w:pStyle w:val="1"/>
        <w:spacing w:after="136"/>
        <w:ind w:left="660" w:right="0"/>
      </w:pPr>
      <w:r>
        <w:t xml:space="preserve">Литература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t xml:space="preserve">Норенков И.П., </w:t>
      </w:r>
      <w:proofErr w:type="spellStart"/>
      <w:r>
        <w:t>Трудоношин</w:t>
      </w:r>
      <w:proofErr w:type="spellEnd"/>
      <w:r>
        <w:t xml:space="preserve"> В.А. Телекоммуникационные технологии и сети. М.: МГТУ им. Н.Э. Баумана, 2000. 24 с.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t>Митрохин В.Е. Измерения в волоко</w:t>
      </w:r>
      <w:r>
        <w:t>нно</w:t>
      </w:r>
      <w:r>
        <w:t>-</w:t>
      </w:r>
      <w:r>
        <w:t xml:space="preserve">оптических системах передачи: учеб. </w:t>
      </w:r>
    </w:p>
    <w:p w:rsidR="00A73F7F" w:rsidRDefault="0088739F">
      <w:pPr>
        <w:ind w:left="-5" w:right="45"/>
      </w:pPr>
      <w:r>
        <w:t xml:space="preserve">пособие для вузов </w:t>
      </w:r>
      <w:proofErr w:type="spellStart"/>
      <w:r>
        <w:t>ж.д</w:t>
      </w:r>
      <w:proofErr w:type="spellEnd"/>
      <w:r>
        <w:t xml:space="preserve">. трансп. М.: ГОУ УМЦ ЖДТ, 2007. 197 с.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t>Убайдуллаев P.P. Волоконно</w:t>
      </w:r>
      <w:r>
        <w:t>-</w:t>
      </w:r>
      <w:r>
        <w:t>оптические сети. М.: ЭКО</w:t>
      </w:r>
      <w:r>
        <w:t>-</w:t>
      </w:r>
      <w:r>
        <w:t xml:space="preserve">ТРЕНДЗ, 1998. 56 с.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t>Прыгунов А.А. Некоторые особенности практического использования пространственно</w:t>
      </w:r>
      <w:r>
        <w:t>-</w:t>
      </w:r>
      <w:r>
        <w:t>спектрального метода голографической интерферометрии // Системный анализ, управление и обработка информации. 2012. Т. 1, №12. С. 121</w:t>
      </w:r>
      <w:r>
        <w:t>-</w:t>
      </w:r>
      <w:r>
        <w:t xml:space="preserve">134.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t>Островский Ю.И., Бутусов М.М., Островская Г.В. Голографическая интерферометрия. Монография. Новосибирск: Наука, 1977.</w:t>
      </w:r>
      <w:r>
        <w:t xml:space="preserve"> 336 с. </w:t>
      </w:r>
    </w:p>
    <w:p w:rsidR="00A73F7F" w:rsidRDefault="0088739F">
      <w:pPr>
        <w:numPr>
          <w:ilvl w:val="0"/>
          <w:numId w:val="1"/>
        </w:numPr>
        <w:ind w:right="45" w:hanging="708"/>
      </w:pPr>
      <w:r>
        <w:lastRenderedPageBreak/>
        <w:t xml:space="preserve">Никитин В.Е., Ефимов М.А., Рывкин А.Я. Особенности проектирования  </w:t>
      </w:r>
      <w:proofErr w:type="spellStart"/>
      <w:r>
        <w:t>одномодовых</w:t>
      </w:r>
      <w:proofErr w:type="spellEnd"/>
      <w:r>
        <w:t xml:space="preserve"> волоконно</w:t>
      </w:r>
      <w:r>
        <w:t>-</w:t>
      </w:r>
      <w:r>
        <w:t xml:space="preserve">оптических линий связи // ИСУП. 2007. № 1. С. 52. </w:t>
      </w:r>
    </w:p>
    <w:sectPr w:rsidR="00A73F7F">
      <w:pgSz w:w="11906" w:h="16838"/>
      <w:pgMar w:top="1475" w:right="792" w:bottom="14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841"/>
    <w:multiLevelType w:val="hybridMultilevel"/>
    <w:tmpl w:val="FFFFFFFF"/>
    <w:lvl w:ilvl="0" w:tplc="E9F064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8A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67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04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C2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29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A0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B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CD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F"/>
    <w:rsid w:val="00365665"/>
    <w:rsid w:val="0088739F"/>
    <w:rsid w:val="00A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2290A1-D7B6-5844-9AB6-53AC4E3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9" w:lineRule="auto"/>
      <w:ind w:left="501" w:right="493" w:hanging="10"/>
      <w:jc w:val="both"/>
    </w:pPr>
    <w:rPr>
      <w:rFonts w:ascii="Times New Roman" w:eastAsia="Times New Roman" w:hAnsi="Times New Roman" w:cs="Times New Roman"/>
      <w:color w:val="000000"/>
      <w:sz w:val="24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/>
      <w:ind w:right="59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6.jpg" /><Relationship Id="rId5" Type="http://schemas.openxmlformats.org/officeDocument/2006/relationships/image" Target="media/image1.png" /><Relationship Id="rId10" Type="http://schemas.openxmlformats.org/officeDocument/2006/relationships/image" Target="media/image5.jpg" /><Relationship Id="rId4" Type="http://schemas.openxmlformats.org/officeDocument/2006/relationships/webSettings" Target="webSettings.xml" /><Relationship Id="rId9" Type="http://schemas.openxmlformats.org/officeDocument/2006/relationships/image" Target="media/image0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Vlad Semenov</cp:lastModifiedBy>
  <cp:revision>3</cp:revision>
  <dcterms:created xsi:type="dcterms:W3CDTF">2020-10-27T09:06:00Z</dcterms:created>
  <dcterms:modified xsi:type="dcterms:W3CDTF">2020-10-27T09:07:00Z</dcterms:modified>
</cp:coreProperties>
</file>