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D1DE" w14:textId="1A91DB15" w:rsidR="00743266" w:rsidRDefault="00151048" w:rsidP="00151048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Стефанович Илья, 3 курс</w:t>
      </w:r>
    </w:p>
    <w:p w14:paraId="78AF8F04" w14:textId="0AFE1691" w:rsidR="00151048" w:rsidRDefault="00151048" w:rsidP="00151048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Среднерусский институт управления – филиал РАНХиГС</w:t>
      </w:r>
    </w:p>
    <w:p w14:paraId="50B47584" w14:textId="77777777" w:rsidR="00151048" w:rsidRPr="00151048" w:rsidRDefault="00151048" w:rsidP="00151048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03EC179" w14:textId="613A0C7E" w:rsidR="00581694" w:rsidRDefault="00581694" w:rsidP="00151048">
      <w:pPr>
        <w:pStyle w:val="a3"/>
        <w:shd w:val="clear" w:color="auto" w:fill="FFFFFF"/>
        <w:spacing w:before="0" w:beforeAutospacing="0" w:after="0" w:afterAutospacing="0" w:line="360" w:lineRule="auto"/>
        <w:ind w:left="1211"/>
        <w:jc w:val="center"/>
        <w:rPr>
          <w:b/>
          <w:bCs/>
          <w:sz w:val="28"/>
          <w:szCs w:val="28"/>
        </w:rPr>
      </w:pPr>
      <w:r w:rsidRPr="00581694">
        <w:rPr>
          <w:b/>
          <w:bCs/>
          <w:sz w:val="28"/>
          <w:szCs w:val="28"/>
        </w:rPr>
        <w:t>Анализ системы управления хозяйствующим субъектом: организационный аспект</w:t>
      </w:r>
      <w:r w:rsidR="00151048">
        <w:rPr>
          <w:b/>
          <w:bCs/>
          <w:sz w:val="28"/>
          <w:szCs w:val="28"/>
        </w:rPr>
        <w:t xml:space="preserve"> (на примере НК «Роснефть»)</w:t>
      </w:r>
    </w:p>
    <w:p w14:paraId="5529FAC3" w14:textId="77777777" w:rsidR="00581694" w:rsidRPr="00581694" w:rsidRDefault="00581694" w:rsidP="00581694">
      <w:pPr>
        <w:pStyle w:val="a3"/>
        <w:shd w:val="clear" w:color="auto" w:fill="FFFFFF"/>
        <w:spacing w:before="0" w:beforeAutospacing="0" w:after="0" w:afterAutospacing="0" w:line="360" w:lineRule="auto"/>
        <w:ind w:left="1211"/>
        <w:rPr>
          <w:b/>
          <w:bCs/>
          <w:color w:val="000000" w:themeColor="text1"/>
          <w:sz w:val="28"/>
          <w:szCs w:val="28"/>
        </w:rPr>
      </w:pPr>
    </w:p>
    <w:p w14:paraId="0CD51AF4" w14:textId="2978F43E" w:rsidR="003600A3" w:rsidRPr="00581694" w:rsidRDefault="003600A3" w:rsidP="00427E0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81694">
        <w:rPr>
          <w:color w:val="000000" w:themeColor="text1"/>
          <w:sz w:val="28"/>
          <w:szCs w:val="28"/>
        </w:rPr>
        <w:t>«Роснефть» — лидер российской нефтяной отрасли и крупнейшая публичная нефтегазовая корпорация мира. Основными видами деятельности ПАО «НК «Роснефть» являются поиск и разведка месторождений углеводородов, добыча нефти, газа, газового конденсата, реализация проектов по освоению морских месторождений, переработка добытого сырья, реализация нефти, газа и продуктов их переработки на территории России и за ее пределами.</w:t>
      </w:r>
    </w:p>
    <w:p w14:paraId="6677B584" w14:textId="171755A3" w:rsidR="003600A3" w:rsidRPr="00581694" w:rsidRDefault="003600A3" w:rsidP="00427E0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81694">
        <w:rPr>
          <w:color w:val="000000" w:themeColor="text1"/>
          <w:sz w:val="28"/>
          <w:szCs w:val="28"/>
        </w:rPr>
        <w:t xml:space="preserve">Компания включена в перечень стратегических предприятий России. Ее основным акционером (40,4% акций) является АО «РОСНЕФТЕГАЗ», на 100% принадлежащее государству, 19,75% акций принадлежит компании BP, 18,93% акций принадлежит компании </w:t>
      </w:r>
      <w:proofErr w:type="spellStart"/>
      <w:r w:rsidRPr="00581694">
        <w:rPr>
          <w:color w:val="000000" w:themeColor="text1"/>
          <w:sz w:val="28"/>
          <w:szCs w:val="28"/>
        </w:rPr>
        <w:t>КьюЭйч</w:t>
      </w:r>
      <w:proofErr w:type="spellEnd"/>
      <w:r w:rsidRPr="00581694">
        <w:rPr>
          <w:color w:val="000000" w:themeColor="text1"/>
          <w:sz w:val="28"/>
          <w:szCs w:val="28"/>
        </w:rPr>
        <w:t xml:space="preserve"> </w:t>
      </w:r>
      <w:proofErr w:type="spellStart"/>
      <w:r w:rsidRPr="00581694">
        <w:rPr>
          <w:color w:val="000000" w:themeColor="text1"/>
          <w:sz w:val="28"/>
          <w:szCs w:val="28"/>
        </w:rPr>
        <w:t>Оил</w:t>
      </w:r>
      <w:proofErr w:type="spellEnd"/>
      <w:r w:rsidRPr="00581694">
        <w:rPr>
          <w:color w:val="000000" w:themeColor="text1"/>
          <w:sz w:val="28"/>
          <w:szCs w:val="28"/>
        </w:rPr>
        <w:t xml:space="preserve"> </w:t>
      </w:r>
      <w:proofErr w:type="spellStart"/>
      <w:r w:rsidRPr="00581694">
        <w:rPr>
          <w:color w:val="000000" w:themeColor="text1"/>
          <w:sz w:val="28"/>
          <w:szCs w:val="28"/>
        </w:rPr>
        <w:t>Инвестментс</w:t>
      </w:r>
      <w:proofErr w:type="spellEnd"/>
      <w:r w:rsidRPr="00581694">
        <w:rPr>
          <w:color w:val="000000" w:themeColor="text1"/>
          <w:sz w:val="28"/>
          <w:szCs w:val="28"/>
        </w:rPr>
        <w:t xml:space="preserve"> ЛЛК / QH </w:t>
      </w:r>
      <w:proofErr w:type="spellStart"/>
      <w:r w:rsidRPr="00581694">
        <w:rPr>
          <w:color w:val="000000" w:themeColor="text1"/>
          <w:sz w:val="28"/>
          <w:szCs w:val="28"/>
        </w:rPr>
        <w:t>Oil</w:t>
      </w:r>
      <w:proofErr w:type="spellEnd"/>
      <w:r w:rsidRPr="00581694">
        <w:rPr>
          <w:color w:val="000000" w:themeColor="text1"/>
          <w:sz w:val="28"/>
          <w:szCs w:val="28"/>
        </w:rPr>
        <w:t xml:space="preserve"> </w:t>
      </w:r>
      <w:proofErr w:type="spellStart"/>
      <w:r w:rsidRPr="00581694">
        <w:rPr>
          <w:color w:val="000000" w:themeColor="text1"/>
          <w:sz w:val="28"/>
          <w:szCs w:val="28"/>
        </w:rPr>
        <w:t>Investments</w:t>
      </w:r>
      <w:proofErr w:type="spellEnd"/>
      <w:r w:rsidRPr="00581694">
        <w:rPr>
          <w:color w:val="000000" w:themeColor="text1"/>
          <w:sz w:val="28"/>
          <w:szCs w:val="28"/>
        </w:rPr>
        <w:t xml:space="preserve"> LLC, одна акция принадлежит государству в лице Федерального агентства по управлению государственным имуществом. </w:t>
      </w:r>
    </w:p>
    <w:p w14:paraId="197B6F9C" w14:textId="77777777" w:rsidR="003600A3" w:rsidRPr="00427E0E" w:rsidRDefault="003600A3" w:rsidP="00427E0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81694">
        <w:rPr>
          <w:color w:val="000000" w:themeColor="text1"/>
          <w:sz w:val="28"/>
          <w:szCs w:val="28"/>
        </w:rPr>
        <w:t>Основными целями и задачами ПАО «НК «Роснефть» являются восполнение запасов на уровне не менее 100%, эффективная добыча на зрелых месторождениях и ее рост за счет реализации новых проектов, создание новых кластеров добычи на шельфе, развитие технологий и внедрение практик проектного управления мирового уровня, монетизация газовых запас</w:t>
      </w:r>
      <w:r w:rsidRPr="00427E0E">
        <w:rPr>
          <w:color w:val="000000" w:themeColor="text1"/>
          <w:sz w:val="28"/>
          <w:szCs w:val="28"/>
        </w:rPr>
        <w:t>ов и конкурентный рост добычи, оптимальная конфигурация НПЗ и максимально прибыльная реализация продукции Компании.</w:t>
      </w:r>
    </w:p>
    <w:p w14:paraId="7D1F16EE" w14:textId="7E30EE16" w:rsidR="00427E0E" w:rsidRPr="00427E0E" w:rsidRDefault="003600A3" w:rsidP="0015104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27E0E">
        <w:rPr>
          <w:color w:val="000000" w:themeColor="text1"/>
          <w:sz w:val="28"/>
          <w:szCs w:val="28"/>
        </w:rPr>
        <w:t>Успешные итоги деятельности ПАО «НК «Роснефть» в 2018 году подтверждают эффективность применяемой стратегии, значимость обозначенных приоритетов и позволяют прогнозировать дальнейшее устойчивое развитие Компании на благо акци</w:t>
      </w:r>
      <w:r w:rsidR="00151048">
        <w:rPr>
          <w:color w:val="000000" w:themeColor="text1"/>
          <w:sz w:val="28"/>
          <w:szCs w:val="28"/>
        </w:rPr>
        <w:t>о</w:t>
      </w:r>
      <w:r w:rsidRPr="00427E0E">
        <w:rPr>
          <w:color w:val="000000" w:themeColor="text1"/>
          <w:sz w:val="28"/>
          <w:szCs w:val="28"/>
        </w:rPr>
        <w:t>неров.</w:t>
      </w:r>
    </w:p>
    <w:p w14:paraId="70543650" w14:textId="69B48CBA" w:rsidR="00427E0E" w:rsidRPr="00427E0E" w:rsidRDefault="003600A3" w:rsidP="00427E0E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Организационная и производственная структуры ОАО НК «Роснефть»</w:t>
      </w:r>
      <w:r w:rsidR="00427E0E"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108567" w14:textId="24B2320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45262D" wp14:editId="7567A858">
            <wp:extent cx="4524375" cy="3867150"/>
            <wp:effectExtent l="0" t="0" r="9525" b="0"/>
            <wp:docPr id="2" name="Рисунок 2" descr="Организационная структура ОАО НК « Роснеф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структура ОАО НК « Роснефть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7B63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1. Организационная структура ОАО НК </w:t>
      </w:r>
      <w:proofErr w:type="gramStart"/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Роснефть</w:t>
      </w:r>
      <w:proofErr w:type="gramEnd"/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DBC5CEE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органов управления ОАО «НК «Роснефть» определена Уставом и Кодексом корпоративного поведения Компании и сформирована исходя из требований российского корпоративного законодательства и положений Кодекса корпоративного поведения, рекомендованного к применению распоряжением Федеральной комиссии по рынку ценных бумаг от 4 апреля 2002 года № 421/р. Деятельность органов управления ОАО «НК «Роснефть» регламентируется Федеральным законом «Об акционерных обществах», Уставом, Кодексом корпоративного поведения, Положением об общем собрании акционеров, Положением о Совете директоров, Положением о коллегиальном исполнительном органе (Правлении), Положением о единоличном исполнительном органе (Президенте) и другими внутренними документами Компании. В соответствии с Уставом ОАО «НК «Роснефть» органами управления Компанией являются:</w:t>
      </w:r>
    </w:p>
    <w:p w14:paraId="7E45F9BD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Общее собрание акционеров;</w:t>
      </w:r>
    </w:p>
    <w:p w14:paraId="5D8ABB59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Совет директоров;</w:t>
      </w:r>
    </w:p>
    <w:p w14:paraId="2E42308E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 коллегиальный исполнительный орган (Правление);</w:t>
      </w:r>
    </w:p>
    <w:p w14:paraId="3C4D8EA7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единоличный исполнительный орган (Президент).</w:t>
      </w:r>
    </w:p>
    <w:p w14:paraId="0666790F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Высшим органом управления ОАО «НК «Роснефть» является общее собрание акционеров Компании. Все акционеры ОАО «НК «Роснефть» являются владельцами голосующих акций и могут участвовать в общем собрании акционеров Компании с правом голоса по всем вопросам его компетенции. Порядок созыва, подготовки и проведения общего собрания акционеров ОАО «НК «Роснефть» регулируется Уставом, Положением об общем собрании акционеров и Кодексом корпоративного поведения Компании. ОАО «НК «Роснефть» ежегодно проводит годовое общее собрание акционеров. Инициатором проведения годового общего собрания акционеров Компании является Совет директоров ОАО «НК «Роснефть».</w:t>
      </w:r>
    </w:p>
    <w:p w14:paraId="243EE681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собрания акционеров, которые Компания может проводить помимо годового общего собрания акционеров, являются внеочередными.</w:t>
      </w:r>
    </w:p>
    <w:p w14:paraId="1C1DA33B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директоров ОАО «НК «Роснефть» в соответствии с Федеральным законом «Об акционерных обществах» и Уставом Компании осуществляет общее руководство деятельностью ОАО «НК «Роснефть», за исключением решения вопросов, отнесенных к компетенции общего собрания акционеров Компании. Члены Совета директоров ОАО «НК «Роснефть» избираются общим собранием акционеров на срок до следующего годового общего собрания акционеров. Совет директоров избирается в составе 9 членов. В Совете директоров обеспечено оптимальное соотношение исполнительных, неисполнительных и независимых членов (4 члена Совета директоров являются независимыми). В соответствии с Кодексом корпоративного поведения ОАО «НК «Роснефть» Совет директоров Компании для реализации своих функций создает из своих членов постоянно действующие Комитеты. В составе Совета директоров ОАО НК «Роснефть» созданы следующие комитеты:</w:t>
      </w:r>
    </w:p>
    <w:p w14:paraId="380BC309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по аудиту;</w:t>
      </w:r>
    </w:p>
    <w:p w14:paraId="3645F761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по кадрам и вознаграждениям;</w:t>
      </w:r>
    </w:p>
    <w:p w14:paraId="3530062D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 по стратегическому планированию.</w:t>
      </w:r>
    </w:p>
    <w:p w14:paraId="0E69C032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Комитеты формируются из членов Совета директоров ОАО «НК «Роснефть», обладающих профессиональным опытом и знаниями в соответствующей сфере. Комитеты состоят из членов Совета директоров Компании, не являющихся исполнительными директорами, и возглавляются независимыми директорами. Председатель Комитета избирается членами каждого Комитета из их числа и утверждается на заседании Совета директоров ОАО «НК «Роснефть». Комитет не является органом Компании и не имеет права действовать от имени Совета директоров.</w:t>
      </w:r>
    </w:p>
    <w:p w14:paraId="09FEFB76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исключительным функциям Комитета Совета директоров по аудиту Компании относятся: оценка кандидатов в аудиторы ОАО «НК «Роснефть» и предоставление результатов такой оценки Совету директоров Компании; оценка заключения аудитора ОАО «НК «Роснефть» до представления его на общем собрании акционеров Компании; оценка эффективности действующих в ОАО «НК «Роснефть» процедур внутреннего контроля и подготовка предложений по их совершенствованию. В функции Комитета по аудиту также входят осуществление контроля полноты и достоверности налогового, бухгалтерского и управленческого учета в ОАО «НК «Роснефть», рассмотрение внутренних процедур Компании по управлению рисками и проведение анализа эффективности таких процедур и обеспечения их соблюдения, а также иные функции, предусмотренные Положением о Комитете Совета директоров по аудиту ОАО «НК «Роснефть».</w:t>
      </w:r>
    </w:p>
    <w:p w14:paraId="16018150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функциями Комитета по кадрам и вознаграждениям являются: формирование кадровой политики ОАО «НК «Роснефть»; разработка принципов и критериев определения размера вознаграждения и компенсаций членов Совета директоров, исполнительных органов, Ревизионной комиссии и руководства Компании; разработка программы долгосрочного вознаграждения работников ОАО «НК «Роснефть» (бонусная и опционная) и другие функции, предусмотренные Положением о Комитете Совета директоров по кадрам и вознаграждениям ОАО «НК «Роснефть».</w:t>
      </w:r>
    </w:p>
    <w:p w14:paraId="52CA8A51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Члены Комитета не могут участвовать в принятии решений об оценке их собственной деятельности и при определении собственного вознаграждения.</w:t>
      </w:r>
    </w:p>
    <w:p w14:paraId="3F291E5E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основным функциям Комитета по стратегическому планированию относятся: формирование стратегии развития и управления, инвестиционной и финансовой стратегии ОАО «НК «Роснефть»; определение приоритетных направлений деятельности Компании, предварительное одобрение планов финансово-хозяйственной деятельности ОАО «НК «Роснефть» на краткосрочную и долгосрочную перспективу, а также иные функции, предусмотренные Положением о Комитете Совета директоров по стратегическому планированию ОАО «НК «Роснефть».</w:t>
      </w:r>
    </w:p>
    <w:p w14:paraId="277EC6EE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 текущей деятельностью ОАО «НК «Роснефть» осуществляется единоличным исполнительным органом (Президентом) и коллегиальным исполнительным органом (Правлением) Компании. Деятельность исполнительных органов ОАО «НК «Роснефть» регулируется Уставом, Кодексом корпоративного поведения, Положением о коллегиальном исполнительном органе (Правлении), Положением о единоличном исполнительном органе (Президенте) Компании. К компетенции исполнительных органов ОАО «НК «Роснефть» относятся все вопросы руководства текущей деятельностью Компании, за исключением вопросов, отнесенных к компетенции Общего собрания акционеров и Совета директоров ОАО «НК «Роснефть».</w:t>
      </w:r>
    </w:p>
    <w:p w14:paraId="45A25694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Правления ОАО «НК «Роснефть» утверждаются Советом директоров Компании по предложению Президента ОАО «НК «Роснефть» сроком на 3 года.</w:t>
      </w:r>
    </w:p>
    <w:p w14:paraId="7FE0357E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НК «Роснефть» функционирует система контроля над финансово-хозяйственной деятельностью, которая включает: Ревизионную комиссию, Комитет Совета директоров по аудиту и Департамент внутреннего аудита.</w:t>
      </w:r>
    </w:p>
    <w:p w14:paraId="577118C9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Существующий порядок подчиненности и взаимодействия элементов системы контроля обеспечивает уровень независимости, необходимый для ее </w:t>
      </w: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эффективного функционирования, и соответствует передовой международной практике в данной области.</w:t>
      </w:r>
    </w:p>
    <w:p w14:paraId="28D0B428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Производственная структура ОАО НК «Роснефть» представлена на рисунке 2.</w:t>
      </w:r>
    </w:p>
    <w:p w14:paraId="699C33E7" w14:textId="2A544C25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D65AA6" wp14:editId="11C41487">
            <wp:extent cx="4781550" cy="3676650"/>
            <wp:effectExtent l="0" t="0" r="0" b="0"/>
            <wp:docPr id="1" name="Рисунок 1" descr="Производственная структура ОАО НК «Роснеф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енная структура ОАО НК «Роснефть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08CD" w14:textId="77777777" w:rsidR="003600A3" w:rsidRPr="00427E0E" w:rsidRDefault="003600A3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Производственная структура ОАО НК «Роснефть».</w:t>
      </w:r>
    </w:p>
    <w:p w14:paraId="69800E0E" w14:textId="58964F40" w:rsidR="0008027C" w:rsidRPr="00427E0E" w:rsidRDefault="0008027C" w:rsidP="00427E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0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53A80C5" w14:textId="4DC10A4E" w:rsidR="00C769C9" w:rsidRPr="00C769C9" w:rsidRDefault="00C769C9" w:rsidP="00C76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706AED57" w14:textId="77777777" w:rsidR="00C769C9" w:rsidRPr="00C769C9" w:rsidRDefault="00C769C9" w:rsidP="00C76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1201266" w14:textId="77777777" w:rsidR="00C769C9" w:rsidRPr="00C769C9" w:rsidRDefault="00C769C9" w:rsidP="00C76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изученного материала следует отметить, что организация представляет собой систему, предназначенную для достижения поставленных целей, которые реализуются с помощью решения проблем и осуществления операций.</w:t>
      </w:r>
    </w:p>
    <w:p w14:paraId="566EAD31" w14:textId="77777777" w:rsidR="00C769C9" w:rsidRPr="00C769C9" w:rsidRDefault="00C769C9" w:rsidP="00C76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>Факторы внешней среды влияют на деятельность фирмы, и организация должна быть в состоянии эффективно реагировать и приспосабливаться к изменениям среды, чтобы выживать и достигать поставленных целей. Ситуационные факторы внутри организации</w:t>
      </w:r>
      <w:r w:rsidRPr="00C769C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составляют внутренние переменные, которые являются результатом управленческих решений. Основные переменные, которые требуют внимания руководства, </w:t>
      </w:r>
      <w:proofErr w:type="gramStart"/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>- это</w:t>
      </w:r>
      <w:proofErr w:type="gramEnd"/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цели, структура, задачи, технология, люди</w:t>
      </w:r>
    </w:p>
    <w:p w14:paraId="6EF71E58" w14:textId="77777777" w:rsidR="00C769C9" w:rsidRPr="00C769C9" w:rsidRDefault="00C769C9" w:rsidP="00C76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>Анализ внешней и внутренней среды предприятия улучшает учет наиболее важных факторов, влияющих на экономическую организацию и ее будущее, помогает предприятию создать о себе наиболее благоприятное впечатление, с точки зрения текущей деятельности, обеспечивает информацией, необходимой для наилучшего выполнения рабочих функций</w:t>
      </w:r>
    </w:p>
    <w:p w14:paraId="1954053D" w14:textId="77777777" w:rsidR="00C769C9" w:rsidRPr="00C769C9" w:rsidRDefault="00C769C9" w:rsidP="00C769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проведенного анализа можно отметить основные факторы макросреды: экономические, правовые, научно-технические. </w:t>
      </w:r>
    </w:p>
    <w:p w14:paraId="614FA686" w14:textId="0972E44C" w:rsidR="00C769C9" w:rsidRDefault="00C769C9" w:rsidP="009B44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показал, что институт относится к средним позициям: средний уровень привлекательности рынка, средний уровень относительных преимуществ организации в данной сфере услуг. </w:t>
      </w:r>
      <w:r w:rsidRPr="00C769C9">
        <w:rPr>
          <w:rFonts w:ascii="Times New Roman" w:hAnsi="Times New Roman" w:cs="Times New Roman"/>
          <w:color w:val="000000"/>
          <w:sz w:val="28"/>
          <w:szCs w:val="28"/>
        </w:rPr>
        <w:t>Среднерусский институт управления – филиал РАНХиГС может улучшить свои результаты за счет грамотной стратегии. Комплекс мер по повышению конкурентоспособности может обеспечить высокие темпы развития организации и закреплению ее позиции на рынке образовательных услуг</w:t>
      </w:r>
    </w:p>
    <w:p w14:paraId="17ACF67A" w14:textId="61786901" w:rsidR="009B4460" w:rsidRDefault="009B4460" w:rsidP="009B44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13E87" w14:textId="77777777" w:rsidR="009B4460" w:rsidRPr="00581694" w:rsidRDefault="009B4460" w:rsidP="009B44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5B1C0" w14:textId="77777777" w:rsidR="00581694" w:rsidRDefault="00581694" w:rsidP="005816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55F5BE" w14:textId="4DE2E296" w:rsidR="009B4460" w:rsidRDefault="009B4460" w:rsidP="005816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Библиографический список</w:t>
      </w:r>
    </w:p>
    <w:p w14:paraId="61019403" w14:textId="77777777" w:rsidR="00581694" w:rsidRPr="00581694" w:rsidRDefault="00581694" w:rsidP="0058169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1694">
        <w:rPr>
          <w:rFonts w:ascii="Times New Roman" w:hAnsi="Times New Roman" w:cs="Times New Roman"/>
          <w:color w:val="000000"/>
          <w:sz w:val="28"/>
          <w:szCs w:val="28"/>
        </w:rPr>
        <w:t>Коровниченко</w:t>
      </w:r>
      <w:proofErr w:type="spellEnd"/>
      <w:r w:rsidRPr="00581694">
        <w:rPr>
          <w:rFonts w:ascii="Times New Roman" w:hAnsi="Times New Roman" w:cs="Times New Roman"/>
          <w:color w:val="000000"/>
          <w:sz w:val="28"/>
          <w:szCs w:val="28"/>
        </w:rPr>
        <w:t xml:space="preserve"> А. А. </w:t>
      </w:r>
      <w:proofErr w:type="spellStart"/>
      <w:r w:rsidRPr="00581694">
        <w:rPr>
          <w:rFonts w:ascii="Times New Roman" w:hAnsi="Times New Roman" w:cs="Times New Roman"/>
          <w:color w:val="000000"/>
          <w:sz w:val="28"/>
          <w:szCs w:val="28"/>
        </w:rPr>
        <w:t>Автодор</w:t>
      </w:r>
      <w:proofErr w:type="spellEnd"/>
      <w:r w:rsidRPr="00581694">
        <w:rPr>
          <w:rFonts w:ascii="Times New Roman" w:hAnsi="Times New Roman" w:cs="Times New Roman"/>
          <w:color w:val="000000"/>
          <w:sz w:val="28"/>
          <w:szCs w:val="28"/>
        </w:rPr>
        <w:t xml:space="preserve"> на Алтае в контексте индустриального развития региона (1928-1932 гг.) //ЭКОНОМИЧЕСКАЯ ИСТОРИЯ СИБИРИ XX-НАЧАЛА XXI ВЕКА. – 2018. – С. 181.</w:t>
      </w:r>
    </w:p>
    <w:p w14:paraId="149811E8" w14:textId="77777777" w:rsidR="00581694" w:rsidRPr="00581694" w:rsidRDefault="00581694" w:rsidP="0058169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694">
        <w:rPr>
          <w:rFonts w:ascii="Times New Roman" w:hAnsi="Times New Roman" w:cs="Times New Roman"/>
          <w:color w:val="000000"/>
          <w:sz w:val="28"/>
          <w:szCs w:val="28"/>
        </w:rPr>
        <w:t>Савицкая Г. В. Комплексный анализ хозяйственной деятельности предприятия. – 2016.</w:t>
      </w:r>
    </w:p>
    <w:p w14:paraId="26DEEE52" w14:textId="04DB24CC" w:rsidR="00581694" w:rsidRPr="00EA0088" w:rsidRDefault="00581694" w:rsidP="00EA00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694">
        <w:rPr>
          <w:rFonts w:ascii="Times New Roman" w:hAnsi="Times New Roman" w:cs="Times New Roman"/>
          <w:color w:val="000000"/>
          <w:sz w:val="28"/>
          <w:szCs w:val="28"/>
        </w:rPr>
        <w:t>Чернова Е. А. Анализ и диагностика финансово-хозяйственной деятельности предприятия как фактор повышения ее эффективности //южно-российский институт управления. – 2018. – С. 70.</w:t>
      </w:r>
    </w:p>
    <w:p w14:paraId="516992E2" w14:textId="77777777" w:rsidR="00581694" w:rsidRPr="00581694" w:rsidRDefault="00581694" w:rsidP="00581694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1694">
        <w:rPr>
          <w:rFonts w:ascii="Times New Roman" w:hAnsi="Times New Roman"/>
          <w:sz w:val="28"/>
          <w:szCs w:val="28"/>
        </w:rPr>
        <w:t>Абилова</w:t>
      </w:r>
      <w:proofErr w:type="spellEnd"/>
      <w:r w:rsidRPr="00581694">
        <w:rPr>
          <w:rFonts w:ascii="Times New Roman" w:hAnsi="Times New Roman"/>
          <w:sz w:val="28"/>
          <w:szCs w:val="28"/>
        </w:rPr>
        <w:t xml:space="preserve"> М. Г., Немцев В. Н. Экономика организации. – 2015. – С. 245.</w:t>
      </w:r>
    </w:p>
    <w:p w14:paraId="5A34D2CC" w14:textId="77777777" w:rsidR="00581694" w:rsidRPr="00581694" w:rsidRDefault="00581694" w:rsidP="00581694">
      <w:pPr>
        <w:pStyle w:val="42"/>
        <w:widowControl w:val="0"/>
        <w:numPr>
          <w:ilvl w:val="0"/>
          <w:numId w:val="2"/>
        </w:numPr>
        <w:shd w:val="clear" w:color="auto" w:fill="auto"/>
        <w:spacing w:line="36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58169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Белова Е. Л., </w:t>
      </w:r>
      <w:proofErr w:type="spellStart"/>
      <w:r w:rsidRPr="00581694">
        <w:rPr>
          <w:rFonts w:ascii="Times New Roman" w:hAnsi="Times New Roman" w:cs="Times New Roman"/>
          <w:bCs/>
          <w:sz w:val="28"/>
          <w:szCs w:val="28"/>
          <w:lang w:eastAsia="x-none"/>
        </w:rPr>
        <w:t>Попелышко</w:t>
      </w:r>
      <w:proofErr w:type="spellEnd"/>
      <w:r w:rsidRPr="0058169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Т. М. Управление финансовой устойчивостью организации //Современная наука: актуальные проблемы и пути их решения. – 2015. – №. 4. – С. 115.</w:t>
      </w:r>
    </w:p>
    <w:p w14:paraId="36E3F07A" w14:textId="43CD724D" w:rsidR="009B4460" w:rsidRPr="00427E0E" w:rsidRDefault="009B4460" w:rsidP="00427E0E">
      <w:pPr>
        <w:jc w:val="both"/>
        <w:rPr>
          <w:color w:val="000000" w:themeColor="text1"/>
        </w:rPr>
      </w:pPr>
    </w:p>
    <w:sectPr w:rsidR="009B4460" w:rsidRPr="00427E0E" w:rsidSect="001D66DB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8AA86" w14:textId="77777777" w:rsidR="000E3D9B" w:rsidRDefault="000E3D9B">
      <w:pPr>
        <w:spacing w:after="0" w:line="240" w:lineRule="auto"/>
      </w:pPr>
      <w:r>
        <w:separator/>
      </w:r>
    </w:p>
  </w:endnote>
  <w:endnote w:type="continuationSeparator" w:id="0">
    <w:p w14:paraId="215B4140" w14:textId="77777777" w:rsidR="000E3D9B" w:rsidRDefault="000E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465358"/>
      <w:docPartObj>
        <w:docPartGallery w:val="Page Numbers (Bottom of Page)"/>
        <w:docPartUnique/>
      </w:docPartObj>
    </w:sdtPr>
    <w:sdtEndPr/>
    <w:sdtContent>
      <w:p w14:paraId="12C0DA54" w14:textId="784D0623" w:rsidR="009B4460" w:rsidRDefault="009B44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28263" w14:textId="77777777" w:rsidR="001D7CC0" w:rsidRDefault="001D7C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61A1" w14:textId="77777777" w:rsidR="000E3D9B" w:rsidRDefault="000E3D9B">
      <w:pPr>
        <w:spacing w:after="0" w:line="240" w:lineRule="auto"/>
      </w:pPr>
      <w:r>
        <w:separator/>
      </w:r>
    </w:p>
  </w:footnote>
  <w:footnote w:type="continuationSeparator" w:id="0">
    <w:p w14:paraId="286FBB3E" w14:textId="77777777" w:rsidR="000E3D9B" w:rsidRDefault="000E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6551"/>
    <w:multiLevelType w:val="multilevel"/>
    <w:tmpl w:val="444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54D9B"/>
    <w:multiLevelType w:val="hybridMultilevel"/>
    <w:tmpl w:val="A46C4B00"/>
    <w:lvl w:ilvl="0" w:tplc="CEFC1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81330C"/>
    <w:multiLevelType w:val="hybridMultilevel"/>
    <w:tmpl w:val="4DBEF610"/>
    <w:lvl w:ilvl="0" w:tplc="7BCEF7D6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8"/>
    <w:rsid w:val="0008027C"/>
    <w:rsid w:val="000E3D9B"/>
    <w:rsid w:val="00151048"/>
    <w:rsid w:val="001D66DB"/>
    <w:rsid w:val="001D7CC0"/>
    <w:rsid w:val="00204C28"/>
    <w:rsid w:val="003600A3"/>
    <w:rsid w:val="00421562"/>
    <w:rsid w:val="00427E0E"/>
    <w:rsid w:val="00581694"/>
    <w:rsid w:val="005F1CAB"/>
    <w:rsid w:val="006F25DB"/>
    <w:rsid w:val="0071147B"/>
    <w:rsid w:val="00743266"/>
    <w:rsid w:val="009175B6"/>
    <w:rsid w:val="00935779"/>
    <w:rsid w:val="009B4460"/>
    <w:rsid w:val="00C769C9"/>
    <w:rsid w:val="00EA0088"/>
    <w:rsid w:val="00F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723A3"/>
  <w15:chartTrackingRefBased/>
  <w15:docId w15:val="{198AB545-E273-4752-837A-3CFCDBF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0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0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">
    <w:name w:val="Основной текст (6)_"/>
    <w:link w:val="60"/>
    <w:rsid w:val="00743266"/>
    <w:rPr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3266"/>
    <w:pPr>
      <w:widowControl w:val="0"/>
      <w:shd w:val="clear" w:color="auto" w:fill="FFFFFF"/>
      <w:spacing w:after="0" w:line="317" w:lineRule="exact"/>
    </w:pPr>
    <w:rPr>
      <w:b/>
      <w:bCs/>
      <w:spacing w:val="2"/>
      <w:sz w:val="21"/>
      <w:szCs w:val="21"/>
    </w:rPr>
  </w:style>
  <w:style w:type="character" w:customStyle="1" w:styleId="4">
    <w:name w:val="Основной текст (4)_"/>
    <w:link w:val="40"/>
    <w:rsid w:val="00743266"/>
    <w:rPr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3266"/>
    <w:pPr>
      <w:widowControl w:val="0"/>
      <w:shd w:val="clear" w:color="auto" w:fill="FFFFFF"/>
      <w:spacing w:after="0" w:line="0" w:lineRule="atLeast"/>
      <w:jc w:val="center"/>
    </w:pPr>
    <w:rPr>
      <w:spacing w:val="3"/>
    </w:rPr>
  </w:style>
  <w:style w:type="character" w:customStyle="1" w:styleId="7">
    <w:name w:val="Основной текст (7)_"/>
    <w:link w:val="70"/>
    <w:rsid w:val="00743266"/>
    <w:rPr>
      <w:b/>
      <w:bCs/>
      <w:spacing w:val="-4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3266"/>
    <w:pPr>
      <w:widowControl w:val="0"/>
      <w:shd w:val="clear" w:color="auto" w:fill="FFFFFF"/>
      <w:spacing w:before="1020" w:after="120" w:line="0" w:lineRule="atLeast"/>
    </w:pPr>
    <w:rPr>
      <w:b/>
      <w:bCs/>
      <w:spacing w:val="-4"/>
      <w:sz w:val="18"/>
      <w:szCs w:val="18"/>
    </w:rPr>
  </w:style>
  <w:style w:type="character" w:customStyle="1" w:styleId="21">
    <w:name w:val="Подпись к таблице (2)_"/>
    <w:link w:val="22"/>
    <w:rsid w:val="00743266"/>
    <w:rPr>
      <w:spacing w:val="3"/>
      <w:shd w:val="clear" w:color="auto" w:fill="FFFFFF"/>
    </w:rPr>
  </w:style>
  <w:style w:type="character" w:customStyle="1" w:styleId="a5">
    <w:name w:val="Подпись к таблице_"/>
    <w:link w:val="a6"/>
    <w:rsid w:val="00743266"/>
    <w:rPr>
      <w:i/>
      <w:i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43266"/>
    <w:pPr>
      <w:widowControl w:val="0"/>
      <w:shd w:val="clear" w:color="auto" w:fill="FFFFFF"/>
      <w:spacing w:after="120" w:line="0" w:lineRule="atLeast"/>
      <w:jc w:val="both"/>
    </w:pPr>
    <w:rPr>
      <w:spacing w:val="3"/>
    </w:rPr>
  </w:style>
  <w:style w:type="paragraph" w:customStyle="1" w:styleId="a6">
    <w:name w:val="Подпись к таблице"/>
    <w:basedOn w:val="a"/>
    <w:link w:val="a5"/>
    <w:rsid w:val="00743266"/>
    <w:pPr>
      <w:widowControl w:val="0"/>
      <w:shd w:val="clear" w:color="auto" w:fill="FFFFFF"/>
      <w:spacing w:before="120" w:after="0" w:line="264" w:lineRule="exact"/>
      <w:jc w:val="both"/>
    </w:pPr>
    <w:rPr>
      <w:i/>
      <w:iCs/>
      <w:sz w:val="18"/>
      <w:szCs w:val="18"/>
    </w:rPr>
  </w:style>
  <w:style w:type="character" w:customStyle="1" w:styleId="23">
    <w:name w:val="Заголовок №2_"/>
    <w:link w:val="24"/>
    <w:locked/>
    <w:rsid w:val="00743266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743266"/>
    <w:pPr>
      <w:shd w:val="clear" w:color="auto" w:fill="FFFFFF"/>
      <w:spacing w:before="600" w:after="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Default">
    <w:name w:val="Default"/>
    <w:rsid w:val="00743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4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43266"/>
    <w:rPr>
      <w:rFonts w:cs="Times New Roman"/>
      <w:i/>
      <w:iCs/>
    </w:rPr>
  </w:style>
  <w:style w:type="paragraph" w:customStyle="1" w:styleId="32">
    <w:name w:val="Основной текст (32)"/>
    <w:rsid w:val="0074326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left" w:pos="708"/>
      </w:tabs>
      <w:spacing w:after="0" w:line="240" w:lineRule="atLeast"/>
    </w:pPr>
    <w:rPr>
      <w:rFonts w:ascii="Times New Roman" w:eastAsia="Arial Unicode MS" w:hAnsi="Times New Roman" w:cs="Arial Unicode MS"/>
      <w:color w:val="000000"/>
      <w:sz w:val="25"/>
      <w:szCs w:val="25"/>
      <w:u w:color="000000"/>
      <w:bdr w:val="nil"/>
      <w:lang w:eastAsia="ru-RU"/>
    </w:rPr>
  </w:style>
  <w:style w:type="paragraph" w:styleId="a9">
    <w:name w:val="header"/>
    <w:basedOn w:val="a"/>
    <w:link w:val="aa"/>
    <w:uiPriority w:val="99"/>
    <w:unhideWhenUsed/>
    <w:rsid w:val="001D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66DB"/>
  </w:style>
  <w:style w:type="paragraph" w:styleId="ab">
    <w:name w:val="footer"/>
    <w:basedOn w:val="a"/>
    <w:link w:val="ac"/>
    <w:uiPriority w:val="99"/>
    <w:unhideWhenUsed/>
    <w:rsid w:val="001D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6DB"/>
  </w:style>
  <w:style w:type="character" w:customStyle="1" w:styleId="apple-converted-space">
    <w:name w:val="apple-converted-space"/>
    <w:basedOn w:val="a0"/>
    <w:uiPriority w:val="99"/>
    <w:rsid w:val="00C769C9"/>
  </w:style>
  <w:style w:type="paragraph" w:styleId="ad">
    <w:name w:val="List Paragraph"/>
    <w:basedOn w:val="a"/>
    <w:uiPriority w:val="34"/>
    <w:qFormat/>
    <w:rsid w:val="005816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41">
    <w:name w:val="Заголовок №4_"/>
    <w:link w:val="42"/>
    <w:locked/>
    <w:rsid w:val="00581694"/>
    <w:rPr>
      <w:sz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581694"/>
    <w:pPr>
      <w:shd w:val="clear" w:color="auto" w:fill="FFFFFF"/>
      <w:spacing w:after="0" w:line="274" w:lineRule="exact"/>
      <w:outlineLvl w:val="3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9EFF-C3B0-48A2-8FFE-5481A577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2020-08-17T12:18:00Z</dcterms:created>
  <dcterms:modified xsi:type="dcterms:W3CDTF">2020-08-17T12:18:00Z</dcterms:modified>
</cp:coreProperties>
</file>