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FF" w:rsidRPr="004D0E54" w:rsidRDefault="002263FF" w:rsidP="00F6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323A" w:rsidRPr="004D0E54" w:rsidRDefault="008C323A" w:rsidP="008C32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E54">
        <w:rPr>
          <w:rFonts w:ascii="Times New Roman" w:hAnsi="Times New Roman" w:cs="Times New Roman"/>
          <w:b/>
          <w:sz w:val="28"/>
          <w:szCs w:val="28"/>
        </w:rPr>
        <w:t>ЗАЩИТА ЖЕРТВ ПРЕСТУПЛЕНИЙ НА ПРИМЕРЕ УПОРЯДОЧЕНИЯ ОБОРОТА ОРУЖИЯ</w:t>
      </w:r>
    </w:p>
    <w:p w:rsidR="00097349" w:rsidRPr="004D0E54" w:rsidRDefault="00097349" w:rsidP="00F6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363" w:rsidRPr="004D0E54" w:rsidRDefault="00F61363" w:rsidP="00F6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54">
        <w:rPr>
          <w:rFonts w:ascii="Times New Roman" w:hAnsi="Times New Roman" w:cs="Times New Roman"/>
          <w:sz w:val="28"/>
          <w:szCs w:val="28"/>
        </w:rPr>
        <w:t>Оружие в силу его высокой опасности всегда</w:t>
      </w:r>
      <w:r w:rsidR="00577A78" w:rsidRPr="004D0E54">
        <w:rPr>
          <w:rFonts w:ascii="Times New Roman" w:hAnsi="Times New Roman" w:cs="Times New Roman"/>
          <w:sz w:val="28"/>
          <w:szCs w:val="28"/>
        </w:rPr>
        <w:t xml:space="preserve"> </w:t>
      </w:r>
      <w:r w:rsidRPr="004D0E54">
        <w:rPr>
          <w:rFonts w:ascii="Times New Roman" w:hAnsi="Times New Roman" w:cs="Times New Roman"/>
          <w:sz w:val="28"/>
          <w:szCs w:val="28"/>
        </w:rPr>
        <w:t>рассматривается как объект — носитель специальногоадминистративно-правового режимаего оборота. Именно с таких позиций подходятк изучению отношений, складывающихся всфере оборота оружия, специалисты. Вместе с темпод общим термином «оружие» понимается довольноширокий круг предметов, предназначенных дляпоражения живой или иной цели, подачи сигналов.</w:t>
      </w:r>
    </w:p>
    <w:p w:rsidR="00F61363" w:rsidRPr="004D0E54" w:rsidRDefault="00F61363" w:rsidP="00F61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54">
        <w:rPr>
          <w:rFonts w:ascii="Times New Roman" w:hAnsi="Times New Roman" w:cs="Times New Roman"/>
          <w:sz w:val="28"/>
          <w:szCs w:val="28"/>
        </w:rPr>
        <w:t>И для каждого вида оружия — гражданского, служебного</w:t>
      </w:r>
      <w:proofErr w:type="gramStart"/>
      <w:r w:rsidRPr="004D0E54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D0E54">
        <w:rPr>
          <w:rFonts w:ascii="Times New Roman" w:hAnsi="Times New Roman" w:cs="Times New Roman"/>
          <w:sz w:val="28"/>
          <w:szCs w:val="28"/>
        </w:rPr>
        <w:t>оевого, огнестрельного, газового, холодного</w:t>
      </w:r>
      <w:proofErr w:type="gramStart"/>
      <w:r w:rsidRPr="004D0E5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D0E54">
        <w:rPr>
          <w:rFonts w:ascii="Times New Roman" w:hAnsi="Times New Roman" w:cs="Times New Roman"/>
          <w:sz w:val="28"/>
          <w:szCs w:val="28"/>
        </w:rPr>
        <w:t>амообороны, спортивного, охотничьего —устанавливаются собственные административно-правовыережимы, которые, в свою очередь, корректируютсяв зависимости от того, к какой категорииотносятся их владельцы.</w:t>
      </w:r>
    </w:p>
    <w:p w:rsidR="00D439B0" w:rsidRPr="004D0E54" w:rsidRDefault="00D439B0" w:rsidP="00D43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54">
        <w:rPr>
          <w:rFonts w:ascii="Times New Roman" w:hAnsi="Times New Roman" w:cs="Times New Roman"/>
          <w:sz w:val="28"/>
          <w:szCs w:val="28"/>
        </w:rPr>
        <w:t>На сегодняшний день ответственность за незаконное приобретение, передачу, сбыт, хранение, перевозку или ношение оружия предусмотрена в ряде статей УК РФ (222-226 ст.ст.). Однако данная регламентация не решает проблему незаконного применения оружия. На сегодняшний момент наблюдается большой рост преступлений связанных с применени</w:t>
      </w:r>
      <w:r w:rsidR="00ED2291" w:rsidRPr="004D0E54">
        <w:rPr>
          <w:rFonts w:ascii="Times New Roman" w:hAnsi="Times New Roman" w:cs="Times New Roman"/>
          <w:sz w:val="28"/>
          <w:szCs w:val="28"/>
        </w:rPr>
        <w:t>ем оружия.</w:t>
      </w:r>
    </w:p>
    <w:p w:rsidR="00704FA1" w:rsidRPr="004D0E54" w:rsidRDefault="00704FA1" w:rsidP="00704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Россию потрясли убийства с применением огнестрельного оружия в общественных местах – в школах, больницах, у входов в метро и т. п. В силу того, что оружие активно вовлечено в </w:t>
      </w:r>
      <w:r w:rsidR="006235DB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криминальные явления</w:t>
      </w:r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оно представляет собой серьезный комплексный объект социальных, экономических, криминологических и иных исследований. </w:t>
      </w:r>
      <w:r w:rsidR="009C3E89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анная проблема обсуждается </w:t>
      </w:r>
      <w:r w:rsidR="009C3E89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долгое время</w:t>
      </w:r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многих странах мира. Так, сегодня в восьми государствах мира не существует никаких запретов на владение любыми типами гражданского огнестрельного оружия (Буркина-Фасо, Дания, Германия, Замбия, Швейцария, Уганда, Румыния, Финляндия). В отдельных странах (Китай, Таиланд, Сингапур, </w:t>
      </w:r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Япония) граждане подобного права лишены. Абсолютный запрет на все виды огнестрельного оружия предусматривается в законодательстве двух государств (Люксембург и Малайзия). При этом в большинстве госуда</w:t>
      </w:r>
      <w:proofErr w:type="gramStart"/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рств дл</w:t>
      </w:r>
      <w:proofErr w:type="gramEnd"/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приобретения любых типов огнестрельного оружия требуется оформле</w:t>
      </w:r>
      <w:r w:rsidR="006235DB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ние соответствующей лицензии</w:t>
      </w:r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среднем в мире от криминального применения огнестрельного оружия погибает 42 человека на 1 </w:t>
      </w:r>
      <w:proofErr w:type="gramStart"/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населения, это означает, что в год от огнестрельного оружия на планете погибает около 300 тыс. человек.</w:t>
      </w:r>
    </w:p>
    <w:p w:rsidR="007222EA" w:rsidRPr="004D0E54" w:rsidRDefault="007222EA" w:rsidP="00903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 граждан к приобретению, хранению и ношению оружия самообороны в Российской Федерации осуществляется на основании заявления гражданина, документа, удостоверяющего гражданство Российской Федерации, документов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оружием, медицинского заключения об отсутствии медицинских противопоказаний к владению оружием, а также об отсутствии в организме заявителя наркотических</w:t>
      </w:r>
      <w:proofErr w:type="gramEnd"/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средств, психотропных веществ и их метаболитов. Уполномоченный орган самостоятельно проводит проверку наличия или отсутствия сведений об обстоятельствах, препятствующих выдаче лицензии на приобретение оружия, а также возможности обеспечения учета и сохранности оружия по месту жительства гражданина. </w:t>
      </w:r>
    </w:p>
    <w:p w:rsidR="0082022B" w:rsidRPr="004D0E54" w:rsidRDefault="007222EA" w:rsidP="00903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на приобретение, хранение и ношение оружия самообороны не может быть предоставлено гражданам, имеющим неснятую или непогашенную судимость за преступление, совершенное умышленно либо с применением оружия; отбывающим наказание за совершенное преступление; лишенным по решению суда права на приобретение оружия; повторно привлеченным в течение года к административной ответственности за совершение некоторых административных правонарушений до окончания срока, в течение которого лицо считается подвергнутым административному наказанию; не имеющим постоянного места жительства. </w:t>
      </w:r>
    </w:p>
    <w:p w:rsidR="007222EA" w:rsidRPr="004D0E54" w:rsidRDefault="007222EA" w:rsidP="00903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Статья 13 Федерального закона «Об оружии»</w:t>
      </w:r>
      <w:r w:rsidR="004D0E5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предусматривает возможность ношения газовых пистолетов, револьверов на основании лицензии на приобретение такого оружия с последующей его регистрацией в органах внутренних дел по месту жительства. Данная лицензия является одновременно разрешением на хранение и ношение оружия самообороны. Разрешение на ношение огнестрельного оружия ограниченного поражения сроком на пять лет выдается органом внутренних дел при его регистрации. Огнестрельное гладкоствольное длинноствольное оружие самообороны не пре</w:t>
      </w:r>
      <w:r w:rsidR="008A71AC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дназначено для ношения</w:t>
      </w:r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. Важно, чтобы данные требования и условия соблюдались не только в момент выдачи разрешения, но и в течение срока действия разрешения</w:t>
      </w:r>
      <w:r w:rsidR="008A71AC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2D33" w:rsidRPr="004D0E54" w:rsidRDefault="0082022B" w:rsidP="008A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 взгляд данная процедура требует совершенствования из-за роста преступлений</w:t>
      </w:r>
      <w:r w:rsidR="008A71AC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совершаемых с применением оружия. Особенно </w:t>
      </w:r>
      <w:r w:rsidR="0035393E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актуальна проблема применения оружия </w:t>
      </w:r>
      <w:r w:rsidR="008A71AC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учебных заведениях или общественных местах. События, произошедшие </w:t>
      </w:r>
      <w:r w:rsidR="0027338C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A71AC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Керченском политехническом кол</w:t>
      </w:r>
      <w:r w:rsidR="0027338C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8A71AC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едже, совершенные 18-летним студентом, не могут остаться без внимания</w:t>
      </w:r>
      <w:r w:rsidR="0027338C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7A78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Владислав Росляков имел разрешение на оружие, без какого-либо подозрения купил патроны. Студент политехнического колледжа спланировал все до мелочей: его</w:t>
      </w:r>
      <w:r w:rsidR="009F37B2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</w:t>
      </w:r>
      <w:r w:rsidR="00577A78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9F37B2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77A78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</w:t>
      </w:r>
      <w:r w:rsidR="009F37B2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77A78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9F37B2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сценарию, который был осуществлен в американской школе «</w:t>
      </w:r>
      <w:proofErr w:type="spellStart"/>
      <w:r w:rsidR="009F37B2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Колумбайн</w:t>
      </w:r>
      <w:proofErr w:type="spellEnd"/>
      <w:r w:rsidR="009F37B2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577A78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Психиатр признал </w:t>
      </w:r>
      <w:proofErr w:type="spellStart"/>
      <w:r w:rsidR="009F37B2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Рослякова</w:t>
      </w:r>
      <w:proofErr w:type="spellEnd"/>
      <w:r w:rsidR="009F37B2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7A78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вменяемым, что является одним из оснований для получения разрешения</w:t>
      </w:r>
      <w:r w:rsidR="009F37B2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оружие</w:t>
      </w:r>
      <w:r w:rsidR="00577A78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5393E" w:rsidRPr="004D0E54" w:rsidRDefault="00577A78" w:rsidP="008A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на наш взгляд,</w:t>
      </w:r>
      <w:r w:rsidR="009F37B2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получения разрешения на оружие необходимо устанавливать еще один факт – </w:t>
      </w:r>
      <w:r w:rsidR="00412D33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истинную </w:t>
      </w:r>
      <w:r w:rsidR="009F37B2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получения разрешения. Предлагаем законодательно закрепить </w:t>
      </w:r>
      <w:r w:rsidR="00412D33" w:rsidRPr="004D0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прохождение полиграфа для установления истинной цели получения разрешения на оружие. </w:t>
      </w:r>
    </w:p>
    <w:p w:rsidR="00412D33" w:rsidRPr="004D0E54" w:rsidRDefault="00412D33" w:rsidP="0041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54">
        <w:rPr>
          <w:rFonts w:ascii="Times New Roman" w:hAnsi="Times New Roman" w:cs="Times New Roman"/>
          <w:sz w:val="28"/>
          <w:szCs w:val="28"/>
        </w:rPr>
        <w:t xml:space="preserve">В ст. 3 ФЗ «Об оружии» указано, что оружием для самообороны является огнестрельное гладкоствольное длинноствольное оружие, </w:t>
      </w:r>
      <w:r w:rsidRPr="004D0E54">
        <w:rPr>
          <w:rFonts w:ascii="Times New Roman" w:hAnsi="Times New Roman" w:cs="Times New Roman"/>
          <w:sz w:val="28"/>
          <w:szCs w:val="28"/>
        </w:rPr>
        <w:lastRenderedPageBreak/>
        <w:t>огнестрельное оружие ограниченного поражения, газовое оружие, электрошоковые устройства и искровые разрядн</w:t>
      </w:r>
      <w:r w:rsidR="00B57F94" w:rsidRPr="004D0E54">
        <w:rPr>
          <w:rFonts w:ascii="Times New Roman" w:hAnsi="Times New Roman" w:cs="Times New Roman"/>
          <w:sz w:val="28"/>
          <w:szCs w:val="28"/>
        </w:rPr>
        <w:t>ики отечественного производства. На наш взгляд, недопустимо применение огнестрельного оружия для указанной цели.</w:t>
      </w:r>
    </w:p>
    <w:p w:rsidR="00412D33" w:rsidRPr="004D0E54" w:rsidRDefault="00412D33" w:rsidP="00097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54">
        <w:rPr>
          <w:rFonts w:ascii="Times New Roman" w:hAnsi="Times New Roman" w:cs="Times New Roman"/>
          <w:sz w:val="28"/>
          <w:szCs w:val="28"/>
        </w:rPr>
        <w:t>Также считаем, что для самоо</w:t>
      </w:r>
      <w:r w:rsidR="00097349" w:rsidRPr="004D0E54">
        <w:rPr>
          <w:rFonts w:ascii="Times New Roman" w:hAnsi="Times New Roman" w:cs="Times New Roman"/>
          <w:sz w:val="28"/>
          <w:szCs w:val="28"/>
        </w:rPr>
        <w:t xml:space="preserve">бороны использование огнестрельного оружия недопустимо, так как существует риск совершения преступления с использованием такого оружия. Политика правоохранительных органов направлена на предотвращение совершения преступлений и, по нашему мнению, одним из способов предотвращения преступлений с использованием оружия является запрет на использование огнестрельного оружия в целях самообороны. </w:t>
      </w:r>
    </w:p>
    <w:p w:rsidR="008C2FA4" w:rsidRPr="004D0E54" w:rsidRDefault="00097349" w:rsidP="0009734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D0E54">
        <w:rPr>
          <w:rFonts w:ascii="Times New Roman" w:hAnsi="Times New Roman" w:cs="Times New Roman"/>
          <w:sz w:val="28"/>
          <w:szCs w:val="28"/>
          <w:shd w:val="clear" w:color="auto" w:fill="FAFAFA"/>
        </w:rPr>
        <w:t>Таким образом, проведя исследование оборота оружия, мы предлагаем следующие изменения:</w:t>
      </w:r>
    </w:p>
    <w:p w:rsidR="00097349" w:rsidRPr="004D0E54" w:rsidRDefault="00097349" w:rsidP="0009734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D0E5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1. </w:t>
      </w:r>
      <w:r w:rsidR="00DF10DD" w:rsidRPr="004D0E54">
        <w:rPr>
          <w:rFonts w:ascii="Times New Roman" w:hAnsi="Times New Roman" w:cs="Times New Roman"/>
          <w:sz w:val="28"/>
          <w:szCs w:val="28"/>
          <w:shd w:val="clear" w:color="auto" w:fill="FAFAFA"/>
        </w:rPr>
        <w:t>В с</w:t>
      </w:r>
      <w:r w:rsidRPr="004D0E5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т. 3 ФЗ «Об оружии» </w:t>
      </w:r>
      <w:r w:rsidR="00DF10DD" w:rsidRPr="004D0E5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исключить огнестрельное оружие из перечня гражданского оружия для самообороны и </w:t>
      </w:r>
      <w:r w:rsidRPr="004D0E54">
        <w:rPr>
          <w:rFonts w:ascii="Times New Roman" w:hAnsi="Times New Roman" w:cs="Times New Roman"/>
          <w:sz w:val="28"/>
          <w:szCs w:val="28"/>
          <w:shd w:val="clear" w:color="auto" w:fill="FAFAFA"/>
        </w:rPr>
        <w:t>изложить в следующей редакции:</w:t>
      </w:r>
    </w:p>
    <w:p w:rsidR="00097349" w:rsidRPr="004D0E54" w:rsidRDefault="00DF10DD" w:rsidP="00097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E5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C5076" w:rsidRPr="004D0E54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="00097349" w:rsidRPr="004D0E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Гражданское оружие подразделяется </w:t>
      </w:r>
      <w:proofErr w:type="gramStart"/>
      <w:r w:rsidR="00097349" w:rsidRPr="004D0E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097349" w:rsidRPr="004D0E5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97349" w:rsidRPr="004D0E54" w:rsidRDefault="00097349" w:rsidP="00097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dst100032"/>
      <w:bookmarkEnd w:id="1"/>
      <w:r w:rsidRPr="004D0E54">
        <w:rPr>
          <w:rFonts w:ascii="Times New Roman" w:eastAsia="Times New Roman" w:hAnsi="Times New Roman" w:cs="Times New Roman"/>
          <w:sz w:val="28"/>
          <w:szCs w:val="24"/>
          <w:lang w:eastAsia="ru-RU"/>
        </w:rPr>
        <w:t>1) оружие самообороны:</w:t>
      </w:r>
    </w:p>
    <w:p w:rsidR="00097349" w:rsidRPr="004D0E54" w:rsidRDefault="00097349" w:rsidP="00097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dst52"/>
      <w:bookmarkStart w:id="3" w:name="dst100305"/>
      <w:bookmarkEnd w:id="2"/>
      <w:bookmarkEnd w:id="3"/>
      <w:r w:rsidRPr="004D0E54">
        <w:rPr>
          <w:rFonts w:ascii="Times New Roman" w:eastAsia="Times New Roman" w:hAnsi="Times New Roman" w:cs="Times New Roman"/>
          <w:sz w:val="28"/>
          <w:szCs w:val="24"/>
          <w:lang w:eastAsia="ru-RU"/>
        </w:rPr>
        <w:t>- газовое оружие: газовые пистолеты и револьверы, в том числе патроны к ним, механические распылители, аэрозольные и другие устройства, снаряженные слезоточивыми или раздражающими </w:t>
      </w:r>
      <w:hyperlink r:id="rId9" w:anchor="dst100010" w:history="1">
        <w:r w:rsidRPr="004D0E5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веществами</w:t>
        </w:r>
      </w:hyperlink>
      <w:r w:rsidRPr="004D0E54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разрешенными к применению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097349" w:rsidRPr="004D0E54" w:rsidRDefault="00097349" w:rsidP="00097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dst141"/>
      <w:bookmarkEnd w:id="4"/>
      <w:r w:rsidRPr="004D0E54">
        <w:rPr>
          <w:rFonts w:ascii="Times New Roman" w:eastAsia="Times New Roman" w:hAnsi="Times New Roman" w:cs="Times New Roman"/>
          <w:sz w:val="28"/>
          <w:szCs w:val="24"/>
          <w:lang w:eastAsia="ru-RU"/>
        </w:rPr>
        <w:t>- электрошоковые устройства и искровые разрядники отечественного производства, имеющие выходные параметр</w:t>
      </w:r>
      <w:r w:rsidR="00DF10DD" w:rsidRPr="004D0E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ы, соответствующие обязательным </w:t>
      </w:r>
      <w:hyperlink r:id="rId10" w:anchor="dst100018" w:history="1">
        <w:r w:rsidRPr="004D0E5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требованиям</w:t>
        </w:r>
      </w:hyperlink>
      <w:r w:rsidRPr="004D0E5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F10DD" w:rsidRPr="004D0E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установленным в соответствии с </w:t>
      </w:r>
      <w:hyperlink r:id="rId11" w:anchor="dst0" w:history="1">
        <w:r w:rsidRPr="004D0E5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законодательством</w:t>
        </w:r>
      </w:hyperlink>
      <w:r w:rsidR="00DF10DD" w:rsidRPr="004D0E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E5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 о техническом регулировании</w:t>
      </w:r>
      <w:r w:rsidR="00DF10DD" w:rsidRPr="004D0E5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4D0E5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F10DD" w:rsidRPr="004D0E54" w:rsidRDefault="00DF10DD" w:rsidP="00DF10D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D0E54">
        <w:rPr>
          <w:rFonts w:ascii="Times New Roman" w:hAnsi="Times New Roman" w:cs="Times New Roman"/>
          <w:sz w:val="28"/>
          <w:szCs w:val="28"/>
          <w:shd w:val="clear" w:color="auto" w:fill="FAFAFA"/>
        </w:rPr>
        <w:t>2. Ст. 13 ФЗ «Об оружии» дополнить фразой:</w:t>
      </w:r>
    </w:p>
    <w:p w:rsidR="000B2289" w:rsidRPr="004D0E54" w:rsidRDefault="00DF10DD" w:rsidP="00DF10D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D0E54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«…</w:t>
      </w:r>
      <w:r w:rsidR="000B2289" w:rsidRPr="004D0E5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обязаны пройти </w:t>
      </w:r>
      <w:r w:rsidRPr="004D0E5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специальное психофизиологическое исследование (СПФИ) с применением Полиграфа (детектора лжи), что является одним из видов опроса с использованием </w:t>
      </w:r>
      <w:proofErr w:type="gramStart"/>
      <w:r w:rsidRPr="004D0E54">
        <w:rPr>
          <w:rFonts w:ascii="Times New Roman" w:hAnsi="Times New Roman" w:cs="Times New Roman"/>
          <w:sz w:val="28"/>
          <w:szCs w:val="28"/>
          <w:shd w:val="clear" w:color="auto" w:fill="FAFAFA"/>
        </w:rPr>
        <w:t>технических средств, не причиняющих вреда жизни и здоровью личности и проводится</w:t>
      </w:r>
      <w:proofErr w:type="gramEnd"/>
      <w:r w:rsidRPr="004D0E5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органом</w:t>
      </w:r>
      <w:r w:rsidR="000B2289" w:rsidRPr="004D0E54">
        <w:rPr>
          <w:rFonts w:ascii="Times New Roman" w:hAnsi="Times New Roman" w:cs="Times New Roman"/>
          <w:sz w:val="28"/>
          <w:szCs w:val="28"/>
          <w:shd w:val="clear" w:color="auto" w:fill="FAFAFA"/>
        </w:rPr>
        <w:t>».</w:t>
      </w:r>
    </w:p>
    <w:p w:rsidR="00DF10DD" w:rsidRPr="004D0E54" w:rsidRDefault="00DF10DD" w:rsidP="00DF10D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D0E5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BA3FA4" w:rsidRPr="004D0E54">
        <w:rPr>
          <w:rFonts w:ascii="Times New Roman" w:hAnsi="Times New Roman" w:cs="Times New Roman"/>
          <w:sz w:val="28"/>
          <w:szCs w:val="28"/>
          <w:shd w:val="clear" w:color="auto" w:fill="FAFAFA"/>
        </w:rPr>
        <w:t>Полагаем, что данные изменения позволят снизить уровень совершения преступлений с применением огнестрельного оружия.</w:t>
      </w:r>
    </w:p>
    <w:p w:rsidR="00DF10DD" w:rsidRPr="004D0E54" w:rsidRDefault="00DF10DD" w:rsidP="00DF10DD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DF10DD" w:rsidRPr="004D0E54" w:rsidRDefault="00DF10DD" w:rsidP="00DF10D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sectPr w:rsidR="00DF10DD" w:rsidRPr="004D0E54" w:rsidSect="0003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34" w:rsidRDefault="00B76C34" w:rsidP="004D0E54">
      <w:pPr>
        <w:spacing w:after="0" w:line="240" w:lineRule="auto"/>
      </w:pPr>
      <w:r>
        <w:separator/>
      </w:r>
    </w:p>
  </w:endnote>
  <w:endnote w:type="continuationSeparator" w:id="0">
    <w:p w:rsidR="00B76C34" w:rsidRDefault="00B76C34" w:rsidP="004D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34" w:rsidRDefault="00B76C34" w:rsidP="004D0E54">
      <w:pPr>
        <w:spacing w:after="0" w:line="240" w:lineRule="auto"/>
      </w:pPr>
      <w:r>
        <w:separator/>
      </w:r>
    </w:p>
  </w:footnote>
  <w:footnote w:type="continuationSeparator" w:id="0">
    <w:p w:rsidR="00B76C34" w:rsidRDefault="00B76C34" w:rsidP="004D0E54">
      <w:pPr>
        <w:spacing w:after="0" w:line="240" w:lineRule="auto"/>
      </w:pPr>
      <w:r>
        <w:continuationSeparator/>
      </w:r>
    </w:p>
  </w:footnote>
  <w:footnote w:id="1">
    <w:p w:rsidR="004D0E54" w:rsidRPr="004D0E54" w:rsidRDefault="004D0E54" w:rsidP="004D0E54">
      <w:pPr>
        <w:pStyle w:val="a5"/>
        <w:jc w:val="both"/>
        <w:rPr>
          <w:rFonts w:ascii="Times New Roman" w:hAnsi="Times New Roman" w:cs="Times New Roman"/>
        </w:rPr>
      </w:pPr>
      <w:r w:rsidRPr="004D0E54">
        <w:rPr>
          <w:rStyle w:val="a7"/>
          <w:rFonts w:ascii="Times New Roman" w:hAnsi="Times New Roman" w:cs="Times New Roman"/>
        </w:rPr>
        <w:footnoteRef/>
      </w:r>
      <w:r w:rsidRPr="004D0E54">
        <w:rPr>
          <w:rFonts w:ascii="Times New Roman" w:hAnsi="Times New Roman" w:cs="Times New Roman"/>
        </w:rPr>
        <w:t xml:space="preserve"> . Об оружии от  13 декабря 1996 № 150-ФЗ</w:t>
      </w:r>
      <w:proofErr w:type="gramStart"/>
      <w:r w:rsidRPr="004D0E54">
        <w:rPr>
          <w:rFonts w:ascii="Times New Roman" w:hAnsi="Times New Roman" w:cs="Times New Roman"/>
        </w:rPr>
        <w:t xml:space="preserve"> :</w:t>
      </w:r>
      <w:proofErr w:type="gramEnd"/>
      <w:r w:rsidRPr="004D0E54">
        <w:rPr>
          <w:rFonts w:ascii="Times New Roman" w:hAnsi="Times New Roman" w:cs="Times New Roman"/>
        </w:rPr>
        <w:t xml:space="preserve"> </w:t>
      </w:r>
      <w:proofErr w:type="spellStart"/>
      <w:r w:rsidRPr="004D0E54">
        <w:rPr>
          <w:rFonts w:ascii="Times New Roman" w:hAnsi="Times New Roman" w:cs="Times New Roman"/>
        </w:rPr>
        <w:t>федер</w:t>
      </w:r>
      <w:proofErr w:type="spellEnd"/>
      <w:r w:rsidRPr="004D0E54">
        <w:rPr>
          <w:rFonts w:ascii="Times New Roman" w:hAnsi="Times New Roman" w:cs="Times New Roman"/>
        </w:rPr>
        <w:t xml:space="preserve">. закон : [принят  Гос. </w:t>
      </w:r>
      <w:proofErr w:type="gramStart"/>
      <w:r w:rsidRPr="004D0E54">
        <w:rPr>
          <w:rFonts w:ascii="Times New Roman" w:hAnsi="Times New Roman" w:cs="Times New Roman"/>
        </w:rPr>
        <w:t>Думой 13 ноября 1996 года] // Собрание законодательства РФ. – 1996. – № 51. – ст. 5681.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7B08"/>
    <w:multiLevelType w:val="hybridMultilevel"/>
    <w:tmpl w:val="1F78B8E2"/>
    <w:lvl w:ilvl="0" w:tplc="239EE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0E6410"/>
    <w:multiLevelType w:val="hybridMultilevel"/>
    <w:tmpl w:val="85B88276"/>
    <w:lvl w:ilvl="0" w:tplc="CC3806E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FA4"/>
    <w:rsid w:val="00036E94"/>
    <w:rsid w:val="00071FDF"/>
    <w:rsid w:val="00097349"/>
    <w:rsid w:val="000B2289"/>
    <w:rsid w:val="001C342A"/>
    <w:rsid w:val="002263FF"/>
    <w:rsid w:val="0027338C"/>
    <w:rsid w:val="002D394C"/>
    <w:rsid w:val="0035393E"/>
    <w:rsid w:val="003F0BA9"/>
    <w:rsid w:val="00412D33"/>
    <w:rsid w:val="00420126"/>
    <w:rsid w:val="004C2C8D"/>
    <w:rsid w:val="004D0E54"/>
    <w:rsid w:val="00566813"/>
    <w:rsid w:val="00576BCF"/>
    <w:rsid w:val="00577A78"/>
    <w:rsid w:val="006235DB"/>
    <w:rsid w:val="00704FA1"/>
    <w:rsid w:val="00721668"/>
    <w:rsid w:val="007222EA"/>
    <w:rsid w:val="00723F19"/>
    <w:rsid w:val="007812DF"/>
    <w:rsid w:val="007C5076"/>
    <w:rsid w:val="0082022B"/>
    <w:rsid w:val="00826ED5"/>
    <w:rsid w:val="00864718"/>
    <w:rsid w:val="008A71AC"/>
    <w:rsid w:val="008C2FA4"/>
    <w:rsid w:val="008C323A"/>
    <w:rsid w:val="0090301B"/>
    <w:rsid w:val="00945B75"/>
    <w:rsid w:val="009C3E89"/>
    <w:rsid w:val="009F37B2"/>
    <w:rsid w:val="00AC206D"/>
    <w:rsid w:val="00B57F94"/>
    <w:rsid w:val="00B76C34"/>
    <w:rsid w:val="00BA3FA4"/>
    <w:rsid w:val="00C04D20"/>
    <w:rsid w:val="00D15697"/>
    <w:rsid w:val="00D41148"/>
    <w:rsid w:val="00D439B0"/>
    <w:rsid w:val="00D83E25"/>
    <w:rsid w:val="00DA2A13"/>
    <w:rsid w:val="00DF10DD"/>
    <w:rsid w:val="00ED2291"/>
    <w:rsid w:val="00ED7E01"/>
    <w:rsid w:val="00F274A5"/>
    <w:rsid w:val="00F53777"/>
    <w:rsid w:val="00F6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8C2FA4"/>
  </w:style>
  <w:style w:type="character" w:styleId="a3">
    <w:name w:val="Hyperlink"/>
    <w:basedOn w:val="a0"/>
    <w:uiPriority w:val="99"/>
    <w:semiHidden/>
    <w:unhideWhenUsed/>
    <w:rsid w:val="003539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229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D0E5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0E5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D0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2133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81756/eac9e43b9696a8bb5a89a79d458659ef5ea565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81706/6420849b53bc0fc30b1ff82b329c1f75842533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E3CB-1915-4E3E-994A-0CBAD762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 Анатольевич Кашуба</cp:lastModifiedBy>
  <cp:revision>19</cp:revision>
  <dcterms:created xsi:type="dcterms:W3CDTF">2018-11-04T09:52:00Z</dcterms:created>
  <dcterms:modified xsi:type="dcterms:W3CDTF">2020-06-29T10:23:00Z</dcterms:modified>
</cp:coreProperties>
</file>