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8C" w:rsidRPr="00602D8C" w:rsidRDefault="00602D8C" w:rsidP="00602D8C">
      <w:pPr>
        <w:pStyle w:val="a3"/>
        <w:jc w:val="center"/>
        <w:rPr>
          <w:color w:val="000000"/>
          <w:sz w:val="32"/>
          <w:szCs w:val="32"/>
        </w:rPr>
      </w:pPr>
      <w:bookmarkStart w:id="0" w:name="_GoBack"/>
      <w:r w:rsidRPr="00602D8C">
        <w:rPr>
          <w:color w:val="000000"/>
          <w:sz w:val="32"/>
          <w:szCs w:val="32"/>
        </w:rPr>
        <w:t>Управление дебиторской задолженностью организац</w:t>
      </w:r>
      <w:proofErr w:type="gramStart"/>
      <w:r w:rsidRPr="00602D8C">
        <w:rPr>
          <w:color w:val="000000"/>
          <w:sz w:val="32"/>
          <w:szCs w:val="32"/>
        </w:rPr>
        <w:t>ии ООО</w:t>
      </w:r>
      <w:proofErr w:type="gramEnd"/>
      <w:r w:rsidRPr="00602D8C">
        <w:rPr>
          <w:color w:val="000000"/>
          <w:sz w:val="32"/>
          <w:szCs w:val="32"/>
        </w:rPr>
        <w:t xml:space="preserve"> «Мостостроительная фирма МПФ»</w:t>
      </w:r>
    </w:p>
    <w:p w:rsidR="00602D8C" w:rsidRDefault="00602D8C" w:rsidP="00602D8C">
      <w:pPr>
        <w:pStyle w:val="a3"/>
        <w:jc w:val="right"/>
        <w:rPr>
          <w:color w:val="000000"/>
          <w:sz w:val="27"/>
          <w:szCs w:val="27"/>
        </w:rPr>
      </w:pP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Минеева М.А</w:t>
      </w:r>
      <w:r w:rsidRPr="00602D8C">
        <w:rPr>
          <w:color w:val="000000"/>
          <w:sz w:val="28"/>
          <w:szCs w:val="28"/>
        </w:rPr>
        <w:t>., студентка 2 курса</w:t>
      </w: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r w:rsidRPr="00602D8C">
        <w:rPr>
          <w:color w:val="000000"/>
          <w:sz w:val="28"/>
          <w:szCs w:val="28"/>
        </w:rPr>
        <w:t>направления/профиля подготовки</w:t>
      </w: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r w:rsidRPr="00602D8C">
        <w:rPr>
          <w:color w:val="000000"/>
          <w:sz w:val="28"/>
          <w:szCs w:val="28"/>
        </w:rPr>
        <w:t>38.03.01 Экономика/Финансы и страхование</w:t>
      </w: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602D8C">
        <w:rPr>
          <w:color w:val="000000"/>
          <w:sz w:val="28"/>
          <w:szCs w:val="28"/>
        </w:rPr>
        <w:t>Мининский</w:t>
      </w:r>
      <w:proofErr w:type="spellEnd"/>
      <w:r w:rsidRPr="00602D8C">
        <w:rPr>
          <w:color w:val="000000"/>
          <w:sz w:val="28"/>
          <w:szCs w:val="28"/>
        </w:rPr>
        <w:t xml:space="preserve"> университет</w:t>
      </w: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r w:rsidRPr="00602D8C">
        <w:rPr>
          <w:color w:val="000000"/>
          <w:sz w:val="28"/>
          <w:szCs w:val="28"/>
        </w:rPr>
        <w:t>Егорова А.О., к.э.н., доцент кафедры</w:t>
      </w: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r w:rsidRPr="00602D8C">
        <w:rPr>
          <w:color w:val="000000"/>
          <w:sz w:val="28"/>
          <w:szCs w:val="28"/>
        </w:rPr>
        <w:t>страхования, финансов и кредита</w:t>
      </w:r>
    </w:p>
    <w:p w:rsidR="00602D8C" w:rsidRPr="00602D8C" w:rsidRDefault="00602D8C" w:rsidP="00602D8C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602D8C">
        <w:rPr>
          <w:color w:val="000000"/>
          <w:sz w:val="28"/>
          <w:szCs w:val="28"/>
        </w:rPr>
        <w:t>Мининский</w:t>
      </w:r>
      <w:proofErr w:type="spellEnd"/>
      <w:r w:rsidRPr="00602D8C">
        <w:rPr>
          <w:color w:val="000000"/>
          <w:sz w:val="28"/>
          <w:szCs w:val="28"/>
        </w:rPr>
        <w:t xml:space="preserve"> университет</w:t>
      </w:r>
    </w:p>
    <w:p w:rsidR="00602D8C" w:rsidRPr="00602D8C" w:rsidRDefault="00602D8C" w:rsidP="00602D8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02D8C">
        <w:rPr>
          <w:color w:val="000000"/>
          <w:sz w:val="28"/>
          <w:szCs w:val="28"/>
        </w:rPr>
        <w:t>Аннотация: В статье рассматрива</w:t>
      </w:r>
      <w:r w:rsidR="00B21C5A">
        <w:rPr>
          <w:color w:val="000000"/>
          <w:sz w:val="28"/>
          <w:szCs w:val="28"/>
        </w:rPr>
        <w:t>е</w:t>
      </w:r>
      <w:r w:rsidRPr="00602D8C">
        <w:rPr>
          <w:color w:val="000000"/>
          <w:sz w:val="28"/>
          <w:szCs w:val="28"/>
        </w:rPr>
        <w:t xml:space="preserve">тся особенности </w:t>
      </w:r>
      <w:r w:rsidR="00B21C5A">
        <w:rPr>
          <w:color w:val="000000"/>
          <w:sz w:val="28"/>
          <w:szCs w:val="28"/>
        </w:rPr>
        <w:t>управлением дебиторской задолженности в ООО «Мостостроительная фирма МПФ»</w:t>
      </w:r>
      <w:r w:rsidRPr="00602D8C">
        <w:rPr>
          <w:color w:val="000000"/>
          <w:sz w:val="28"/>
          <w:szCs w:val="28"/>
        </w:rPr>
        <w:t xml:space="preserve">. </w:t>
      </w:r>
      <w:r w:rsidR="00B21C5A">
        <w:rPr>
          <w:color w:val="000000"/>
          <w:sz w:val="28"/>
          <w:szCs w:val="28"/>
        </w:rPr>
        <w:t>Проведем анализ и оценку управлением дебиторской задолженностью</w:t>
      </w:r>
      <w:r w:rsidRPr="00602D8C">
        <w:rPr>
          <w:color w:val="000000"/>
          <w:sz w:val="28"/>
          <w:szCs w:val="28"/>
        </w:rPr>
        <w:t xml:space="preserve">. Представлены сведения о </w:t>
      </w:r>
      <w:r w:rsidR="00B21C5A">
        <w:rPr>
          <w:color w:val="000000"/>
          <w:sz w:val="28"/>
          <w:szCs w:val="28"/>
        </w:rPr>
        <w:t>дебиторской задолженности за 2017 и 2018 гг.</w:t>
      </w:r>
      <w:r w:rsidRPr="00602D8C">
        <w:rPr>
          <w:color w:val="000000"/>
          <w:sz w:val="28"/>
          <w:szCs w:val="28"/>
        </w:rPr>
        <w:t xml:space="preserve"> Сделан вывод, чт</w:t>
      </w:r>
      <w:proofErr w:type="gramStart"/>
      <w:r w:rsidRPr="00602D8C">
        <w:rPr>
          <w:color w:val="000000"/>
          <w:sz w:val="28"/>
          <w:szCs w:val="28"/>
        </w:rPr>
        <w:t xml:space="preserve">о </w:t>
      </w:r>
      <w:r w:rsidR="00B21C5A">
        <w:rPr>
          <w:color w:val="000000"/>
          <w:sz w:val="28"/>
          <w:szCs w:val="28"/>
        </w:rPr>
        <w:t>ООО</w:t>
      </w:r>
      <w:proofErr w:type="gramEnd"/>
      <w:r w:rsidRPr="00602D8C">
        <w:rPr>
          <w:color w:val="000000"/>
          <w:sz w:val="28"/>
          <w:szCs w:val="28"/>
        </w:rPr>
        <w:t xml:space="preserve"> «</w:t>
      </w:r>
      <w:r w:rsidR="00B21C5A">
        <w:rPr>
          <w:color w:val="000000"/>
          <w:sz w:val="28"/>
          <w:szCs w:val="28"/>
        </w:rPr>
        <w:t>Мостостроительная фирма МПФ</w:t>
      </w:r>
      <w:r w:rsidRPr="00602D8C">
        <w:rPr>
          <w:color w:val="000000"/>
          <w:sz w:val="28"/>
          <w:szCs w:val="28"/>
        </w:rPr>
        <w:t xml:space="preserve">» </w:t>
      </w:r>
      <w:r w:rsidR="00335506">
        <w:rPr>
          <w:color w:val="000000"/>
          <w:sz w:val="28"/>
          <w:szCs w:val="28"/>
        </w:rPr>
        <w:t>при проведении анализа, дебиторская задолженность является приемлемой для специфики данных предприятий.</w:t>
      </w:r>
    </w:p>
    <w:p w:rsidR="00602D8C" w:rsidRPr="00602D8C" w:rsidRDefault="00602D8C" w:rsidP="00602D8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02D8C">
        <w:rPr>
          <w:color w:val="000000"/>
          <w:sz w:val="28"/>
          <w:szCs w:val="28"/>
        </w:rPr>
        <w:t xml:space="preserve">Ключевые слова: </w:t>
      </w:r>
      <w:r w:rsidR="00B21C5A">
        <w:rPr>
          <w:color w:val="000000"/>
          <w:sz w:val="28"/>
          <w:szCs w:val="28"/>
        </w:rPr>
        <w:t>ООО «Мостостроительная фирма МПФ»</w:t>
      </w:r>
      <w:r w:rsidRPr="00602D8C">
        <w:rPr>
          <w:color w:val="000000"/>
          <w:sz w:val="28"/>
          <w:szCs w:val="28"/>
        </w:rPr>
        <w:t xml:space="preserve">, компания, производство, </w:t>
      </w:r>
      <w:r w:rsidR="00B21C5A">
        <w:rPr>
          <w:color w:val="000000"/>
          <w:sz w:val="28"/>
          <w:szCs w:val="28"/>
        </w:rPr>
        <w:t>дебиторская задолженность</w:t>
      </w:r>
      <w:r w:rsidRPr="00602D8C">
        <w:rPr>
          <w:color w:val="000000"/>
          <w:sz w:val="28"/>
          <w:szCs w:val="28"/>
        </w:rPr>
        <w:t>, показатель.</w:t>
      </w:r>
    </w:p>
    <w:p w:rsidR="00335506" w:rsidRPr="00335506" w:rsidRDefault="00335506" w:rsidP="00335506">
      <w:pPr>
        <w:pStyle w:val="a3"/>
        <w:ind w:firstLine="709"/>
        <w:jc w:val="center"/>
        <w:rPr>
          <w:color w:val="000000"/>
          <w:sz w:val="28"/>
          <w:szCs w:val="28"/>
          <w:lang w:val="en-US"/>
        </w:rPr>
      </w:pPr>
      <w:r w:rsidRPr="00335506">
        <w:rPr>
          <w:color w:val="000000"/>
          <w:sz w:val="28"/>
          <w:szCs w:val="28"/>
          <w:lang w:val="en-US"/>
        </w:rPr>
        <w:t>Accou</w:t>
      </w:r>
      <w:r>
        <w:rPr>
          <w:color w:val="000000"/>
          <w:sz w:val="28"/>
          <w:szCs w:val="28"/>
          <w:lang w:val="en-US"/>
        </w:rPr>
        <w:t>nts</w:t>
      </w:r>
      <w:r w:rsidRPr="0033550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receivable management of </w:t>
      </w:r>
      <w:r w:rsidRPr="00335506">
        <w:rPr>
          <w:color w:val="000000"/>
          <w:sz w:val="28"/>
          <w:szCs w:val="28"/>
          <w:lang w:val="en-US"/>
        </w:rPr>
        <w:t>LLC «</w:t>
      </w:r>
      <w:r>
        <w:rPr>
          <w:color w:val="000000"/>
          <w:sz w:val="28"/>
          <w:szCs w:val="28"/>
          <w:lang w:val="en-US"/>
        </w:rPr>
        <w:t xml:space="preserve"> MPF </w:t>
      </w:r>
      <w:proofErr w:type="spellStart"/>
      <w:r>
        <w:rPr>
          <w:color w:val="000000"/>
          <w:sz w:val="28"/>
          <w:szCs w:val="28"/>
          <w:lang w:val="en-US"/>
        </w:rPr>
        <w:t>Mostostroitelnaya</w:t>
      </w:r>
      <w:proofErr w:type="spellEnd"/>
      <w:r>
        <w:rPr>
          <w:color w:val="000000"/>
          <w:sz w:val="28"/>
          <w:szCs w:val="28"/>
          <w:lang w:val="en-US"/>
        </w:rPr>
        <w:t xml:space="preserve"> firma</w:t>
      </w:r>
      <w:r w:rsidRPr="00335506">
        <w:rPr>
          <w:color w:val="000000"/>
          <w:sz w:val="28"/>
          <w:szCs w:val="28"/>
          <w:lang w:val="en-US"/>
        </w:rPr>
        <w:t>»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Mineeva</w:t>
      </w:r>
      <w:proofErr w:type="spellEnd"/>
      <w:r>
        <w:rPr>
          <w:color w:val="000000"/>
          <w:sz w:val="28"/>
          <w:szCs w:val="28"/>
          <w:lang w:val="en-US"/>
        </w:rPr>
        <w:t xml:space="preserve"> M.A</w:t>
      </w:r>
      <w:r w:rsidRPr="00602D8C">
        <w:rPr>
          <w:color w:val="000000"/>
          <w:sz w:val="28"/>
          <w:szCs w:val="28"/>
          <w:lang w:val="en-US"/>
        </w:rPr>
        <w:t>., 2nd year student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proofErr w:type="gramStart"/>
      <w:r w:rsidRPr="00602D8C">
        <w:rPr>
          <w:color w:val="000000"/>
          <w:sz w:val="28"/>
          <w:szCs w:val="28"/>
          <w:lang w:val="en-US"/>
        </w:rPr>
        <w:t>direction/training</w:t>
      </w:r>
      <w:proofErr w:type="gramEnd"/>
      <w:r w:rsidRPr="00602D8C">
        <w:rPr>
          <w:color w:val="000000"/>
          <w:sz w:val="28"/>
          <w:szCs w:val="28"/>
          <w:lang w:val="en-US"/>
        </w:rPr>
        <w:t xml:space="preserve"> profile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r w:rsidRPr="00602D8C">
        <w:rPr>
          <w:color w:val="000000"/>
          <w:sz w:val="28"/>
          <w:szCs w:val="28"/>
          <w:lang w:val="en-US"/>
        </w:rPr>
        <w:t>38.03.01- Economics /Finance and Insurance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proofErr w:type="spellStart"/>
      <w:r w:rsidRPr="00602D8C">
        <w:rPr>
          <w:color w:val="000000"/>
          <w:sz w:val="28"/>
          <w:szCs w:val="28"/>
          <w:lang w:val="en-US"/>
        </w:rPr>
        <w:t>Minin</w:t>
      </w:r>
      <w:proofErr w:type="spellEnd"/>
      <w:r w:rsidRPr="00602D8C">
        <w:rPr>
          <w:color w:val="000000"/>
          <w:sz w:val="28"/>
          <w:szCs w:val="28"/>
          <w:lang w:val="en-US"/>
        </w:rPr>
        <w:t xml:space="preserve"> Nizhny Novgorod State Pedagogical University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proofErr w:type="spellStart"/>
      <w:r w:rsidRPr="00602D8C">
        <w:rPr>
          <w:color w:val="000000"/>
          <w:sz w:val="28"/>
          <w:szCs w:val="28"/>
          <w:lang w:val="en-US"/>
        </w:rPr>
        <w:t>Egorova</w:t>
      </w:r>
      <w:proofErr w:type="spellEnd"/>
      <w:r w:rsidRPr="00602D8C">
        <w:rPr>
          <w:color w:val="000000"/>
          <w:sz w:val="28"/>
          <w:szCs w:val="28"/>
          <w:lang w:val="en-US"/>
        </w:rPr>
        <w:t xml:space="preserve"> A.O. Candidate of Economic Sciences,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proofErr w:type="gramStart"/>
      <w:r w:rsidRPr="00602D8C">
        <w:rPr>
          <w:color w:val="000000"/>
          <w:sz w:val="28"/>
          <w:szCs w:val="28"/>
          <w:lang w:val="en-US"/>
        </w:rPr>
        <w:t>docent</w:t>
      </w:r>
      <w:proofErr w:type="gramEnd"/>
      <w:r w:rsidRPr="00602D8C">
        <w:rPr>
          <w:color w:val="000000"/>
          <w:sz w:val="28"/>
          <w:szCs w:val="28"/>
          <w:lang w:val="en-US"/>
        </w:rPr>
        <w:t xml:space="preserve"> of cathedra of Finance, Insurance and Credit</w:t>
      </w:r>
    </w:p>
    <w:p w:rsidR="00602D8C" w:rsidRPr="00602D8C" w:rsidRDefault="00602D8C" w:rsidP="00602D8C">
      <w:pPr>
        <w:pStyle w:val="a3"/>
        <w:ind w:firstLine="709"/>
        <w:jc w:val="right"/>
        <w:rPr>
          <w:color w:val="000000"/>
          <w:sz w:val="28"/>
          <w:szCs w:val="28"/>
          <w:lang w:val="en-US"/>
        </w:rPr>
      </w:pPr>
      <w:proofErr w:type="spellStart"/>
      <w:r w:rsidRPr="00602D8C">
        <w:rPr>
          <w:color w:val="000000"/>
          <w:sz w:val="28"/>
          <w:szCs w:val="28"/>
          <w:lang w:val="en-US"/>
        </w:rPr>
        <w:t>Minin</w:t>
      </w:r>
      <w:proofErr w:type="spellEnd"/>
      <w:r w:rsidRPr="00602D8C">
        <w:rPr>
          <w:color w:val="000000"/>
          <w:sz w:val="28"/>
          <w:szCs w:val="28"/>
          <w:lang w:val="en-US"/>
        </w:rPr>
        <w:t xml:space="preserve"> Nizhny Novgorod State Pedagogical University</w:t>
      </w:r>
    </w:p>
    <w:p w:rsidR="00602D8C" w:rsidRPr="00602D8C" w:rsidRDefault="00602D8C" w:rsidP="00602D8C">
      <w:pPr>
        <w:pStyle w:val="a3"/>
        <w:ind w:firstLine="709"/>
        <w:jc w:val="both"/>
        <w:rPr>
          <w:color w:val="000000"/>
          <w:sz w:val="28"/>
          <w:szCs w:val="28"/>
          <w:lang w:val="en-US"/>
        </w:rPr>
      </w:pPr>
      <w:r w:rsidRPr="00602D8C">
        <w:rPr>
          <w:color w:val="000000"/>
          <w:sz w:val="28"/>
          <w:szCs w:val="28"/>
          <w:lang w:val="en-US"/>
        </w:rPr>
        <w:lastRenderedPageBreak/>
        <w:t xml:space="preserve">Abstract: </w:t>
      </w:r>
      <w:r w:rsidR="00335506" w:rsidRPr="00335506">
        <w:rPr>
          <w:color w:val="000000"/>
          <w:sz w:val="28"/>
          <w:szCs w:val="28"/>
          <w:lang w:val="en-US"/>
        </w:rPr>
        <w:t xml:space="preserve">The article discusses the features of receivables management at LLC «MPF </w:t>
      </w:r>
      <w:proofErr w:type="spellStart"/>
      <w:r w:rsidR="00335506" w:rsidRPr="00335506">
        <w:rPr>
          <w:color w:val="000000"/>
          <w:sz w:val="28"/>
          <w:szCs w:val="28"/>
          <w:lang w:val="en-US"/>
        </w:rPr>
        <w:t>Mostostroitelnaya</w:t>
      </w:r>
      <w:proofErr w:type="spellEnd"/>
      <w:r w:rsidR="00335506" w:rsidRPr="00335506">
        <w:rPr>
          <w:color w:val="000000"/>
          <w:sz w:val="28"/>
          <w:szCs w:val="28"/>
          <w:lang w:val="en-US"/>
        </w:rPr>
        <w:t xml:space="preserve"> firma». We will analyze and evaluate the management of receivables. The information on accounts receivable for 2017 and 2018 is presented. It is concluded that LLC «MPF </w:t>
      </w:r>
      <w:proofErr w:type="spellStart"/>
      <w:r w:rsidR="00335506" w:rsidRPr="00335506">
        <w:rPr>
          <w:color w:val="000000"/>
          <w:sz w:val="28"/>
          <w:szCs w:val="28"/>
          <w:lang w:val="en-US"/>
        </w:rPr>
        <w:t>Mostostroitelnaya</w:t>
      </w:r>
      <w:proofErr w:type="spellEnd"/>
      <w:r w:rsidR="00335506" w:rsidRPr="00335506">
        <w:rPr>
          <w:color w:val="000000"/>
          <w:sz w:val="28"/>
          <w:szCs w:val="28"/>
          <w:lang w:val="en-US"/>
        </w:rPr>
        <w:t xml:space="preserve"> Firma», when conducting the analysis, accounts receivable is acceptable for the specifics of these enterprises.</w:t>
      </w:r>
    </w:p>
    <w:p w:rsidR="00602D8C" w:rsidRPr="00602D8C" w:rsidRDefault="00602D8C" w:rsidP="00602D8C">
      <w:pPr>
        <w:pStyle w:val="a3"/>
        <w:ind w:firstLine="709"/>
        <w:jc w:val="both"/>
        <w:rPr>
          <w:color w:val="000000"/>
          <w:sz w:val="28"/>
          <w:szCs w:val="28"/>
          <w:lang w:val="en-US"/>
        </w:rPr>
      </w:pPr>
      <w:r w:rsidRPr="00602D8C">
        <w:rPr>
          <w:color w:val="000000"/>
          <w:sz w:val="28"/>
          <w:szCs w:val="28"/>
          <w:lang w:val="en-US"/>
        </w:rPr>
        <w:t xml:space="preserve">Keywords: </w:t>
      </w:r>
      <w:r w:rsidR="00335506" w:rsidRPr="00335506">
        <w:rPr>
          <w:color w:val="000000"/>
          <w:sz w:val="28"/>
          <w:szCs w:val="28"/>
          <w:lang w:val="en-US"/>
        </w:rPr>
        <w:t xml:space="preserve">LLC «MPF </w:t>
      </w:r>
      <w:proofErr w:type="spellStart"/>
      <w:r w:rsidR="00335506" w:rsidRPr="00335506">
        <w:rPr>
          <w:color w:val="000000"/>
          <w:sz w:val="28"/>
          <w:szCs w:val="28"/>
          <w:lang w:val="en-US"/>
        </w:rPr>
        <w:t>Mostostroitelnaya</w:t>
      </w:r>
      <w:proofErr w:type="spellEnd"/>
      <w:r w:rsidR="00335506" w:rsidRPr="00335506">
        <w:rPr>
          <w:color w:val="000000"/>
          <w:sz w:val="28"/>
          <w:szCs w:val="28"/>
          <w:lang w:val="en-US"/>
        </w:rPr>
        <w:t xml:space="preserve"> firma», company, production, receivables, indicator.</w:t>
      </w:r>
    </w:p>
    <w:p w:rsidR="00B21C5A" w:rsidRPr="0092341F" w:rsidRDefault="00B21C5A" w:rsidP="009234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зарегистрирована </w:t>
      </w:r>
      <w:r w:rsidRPr="00923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 мая 2008 года</w:t>
      </w:r>
      <w:r w:rsidRPr="0092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регистратором </w:t>
      </w:r>
      <w:r w:rsidRPr="00923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Межрайонная Инспекция Федеральной Налоговой Службы №10 по Нижегородской области.</w:t>
      </w:r>
      <w:r w:rsidRPr="0092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41F">
        <w:rPr>
          <w:rFonts w:ascii="Times New Roman" w:hAnsi="Times New Roman" w:cs="Times New Roman"/>
          <w:sz w:val="28"/>
          <w:szCs w:val="28"/>
        </w:rPr>
        <w:t xml:space="preserve">Основная задача фирмы состоит в предоставлении своих услуг на территории Российской Федерации. Основное направление деятельности: строительство автомобильных дорог, мостов, надземных подземных пешеходных дорог, тоннели для автомобилей. ООО «Мостостроительная фирма МПФ» </w:t>
      </w:r>
      <w:bookmarkStart w:id="1" w:name="687"/>
      <w:r w:rsidRPr="00923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 наращивать темпы строительства, придавая при этом особое внимание качеству работ и вопросам снижения себестоимости продукции имея при этом целью максимальное привлечение Инвесторов</w:t>
      </w:r>
      <w:bookmarkEnd w:id="1"/>
      <w:r w:rsidRPr="00923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1C5A" w:rsidRPr="0092341F" w:rsidRDefault="00B21C5A" w:rsidP="009234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41F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деятельности: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" w:history="1">
        <w:r w:rsidRPr="0092341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Строительство автомобильных дорог и автомагистралей</w:t>
        </w:r>
      </w:hyperlink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" w:history="1">
        <w:r w:rsidRPr="0092341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Строительство жилых и нежилых зданий</w:t>
        </w:r>
      </w:hyperlink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8" w:history="1">
        <w:r w:rsidRPr="0092341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Производство строительных металлических конструкций и изделий</w:t>
        </w:r>
      </w:hyperlink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9" w:history="1">
        <w:r w:rsidRPr="0092341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Производство прочих готовых металлических изделий</w:t>
        </w:r>
      </w:hyperlink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0" w:history="1">
        <w:r w:rsidRPr="0092341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Строительство мостов и тоннелей</w:t>
        </w:r>
      </w:hyperlink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1" w:history="1">
        <w:r w:rsidRPr="0092341F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Производство электромонтажных, санитарно-технических и прочих строительно-монтажных работ</w:t>
        </w:r>
      </w:hyperlink>
      <w:r w:rsidRPr="00923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Дебиторская задолженность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неизбежным следствием существующей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на данный момент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расчетов между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всегда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разрыв времени платежа с моментом перехода права собственности на товар, между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предоставлением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платежных документов к оплате и временем фактической оплаты.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Наличие постоянной дебиторской задолженности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атрибутом хозяйственных отношений в условиях рын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очных отношений организаций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условии, если 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будут соблюдаться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>, если взаимные долги оправданы и сбалансированы, если ими разумно управля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341F" w:rsidRPr="0092341F">
        <w:rPr>
          <w:rFonts w:ascii="Times New Roman" w:hAnsi="Times New Roman" w:cs="Times New Roman"/>
          <w:color w:val="000000"/>
          <w:sz w:val="28"/>
          <w:szCs w:val="28"/>
        </w:rPr>
        <w:t>[1]</w:t>
      </w:r>
    </w:p>
    <w:p w:rsidR="00B21C5A" w:rsidRPr="0092341F" w:rsidRDefault="008333BB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>Если рассматривать,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насколько правильно выбрана кредитная политика,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>будет вестись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дебиторами, зависит в конечном итоге финансовое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и перспективы развития организации.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>Благодаря этому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значение приобретает анализ и управление дебиторской задолженности.</w:t>
      </w:r>
    </w:p>
    <w:p w:rsidR="00B21C5A" w:rsidRPr="0092341F" w:rsidRDefault="008333BB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>правления дебиторской задолженности в ООО «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>Мостостроительная фирма МПФ</w:t>
      </w:r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» состоит </w:t>
      </w:r>
      <w:proofErr w:type="gramStart"/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B21C5A" w:rsidRPr="009234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>1) Анализа и оценки дебиторской задолженности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2) Планирования расчетов с покупателями </w:t>
      </w:r>
    </w:p>
    <w:p w:rsidR="00B21C5A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3) Контроля над расчетами с дебиторами </w:t>
      </w:r>
    </w:p>
    <w:p w:rsidR="000501F5" w:rsidRPr="0092341F" w:rsidRDefault="000501F5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>В основе финансовой деятельности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находится </w:t>
      </w:r>
      <w:proofErr w:type="gramStart"/>
      <w:r w:rsidR="001752F1">
        <w:rPr>
          <w:rFonts w:ascii="Times New Roman" w:hAnsi="Times New Roman" w:cs="Times New Roman"/>
          <w:color w:val="000000"/>
          <w:sz w:val="28"/>
          <w:szCs w:val="28"/>
        </w:rPr>
        <w:t>постоянное</w:t>
      </w:r>
      <w:proofErr w:type="gramEnd"/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задействование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средств, авансированных, для производства и 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отгрузки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работ и услуг. В каждом хоз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данные средства должны обновляться, с прибылью возвращаться в организацию. Дебиторская задолженность 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из многих основны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финансовых 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. От расчетов с дебиторами </w:t>
      </w:r>
      <w:r w:rsidR="001752F1">
        <w:rPr>
          <w:rFonts w:ascii="Times New Roman" w:hAnsi="Times New Roman" w:cs="Times New Roman"/>
          <w:color w:val="000000"/>
          <w:sz w:val="28"/>
          <w:szCs w:val="28"/>
        </w:rPr>
        <w:t>будет зависеть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платежеспособность организации, ее финансовая устойчивость и инвестиционная привлекательность.</w:t>
      </w:r>
      <w:r w:rsidR="0092341F" w:rsidRPr="0092341F">
        <w:rPr>
          <w:rFonts w:ascii="Times New Roman" w:hAnsi="Times New Roman" w:cs="Times New Roman"/>
          <w:color w:val="000000"/>
          <w:sz w:val="28"/>
          <w:szCs w:val="28"/>
        </w:rPr>
        <w:t>[2]</w:t>
      </w:r>
    </w:p>
    <w:p w:rsidR="00246CEB" w:rsidRPr="0092341F" w:rsidRDefault="00B21C5A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>Проведем анализ и оценку дебиторской и кредиторской задолженност</w:t>
      </w:r>
      <w:proofErr w:type="gramStart"/>
      <w:r w:rsidRPr="0092341F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33BB" w:rsidRPr="0092341F">
        <w:rPr>
          <w:rFonts w:ascii="Times New Roman" w:hAnsi="Times New Roman" w:cs="Times New Roman"/>
          <w:color w:val="000000"/>
          <w:sz w:val="28"/>
          <w:szCs w:val="28"/>
        </w:rPr>
        <w:t>Мостостроительная фирма МПФ» за 2017–2018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46CEB" w:rsidRPr="0092341F" w:rsidRDefault="00246CEB" w:rsidP="0092341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Таблица 1 </w:t>
      </w:r>
      <w:r w:rsidR="000501F5" w:rsidRPr="009234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341F">
        <w:rPr>
          <w:rFonts w:ascii="Times New Roman" w:hAnsi="Times New Roman" w:cs="Times New Roman"/>
          <w:color w:val="000000"/>
          <w:sz w:val="28"/>
          <w:szCs w:val="28"/>
        </w:rPr>
        <w:t>Анализ структуры дебиторской задолженности за 2017-2018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695"/>
        <w:gridCol w:w="1739"/>
        <w:gridCol w:w="2393"/>
      </w:tblGrid>
      <w:tr w:rsidR="00246CEB" w:rsidRPr="0092341F" w:rsidTr="00246CEB">
        <w:trPr>
          <w:jc w:val="center"/>
        </w:trPr>
        <w:tc>
          <w:tcPr>
            <w:tcW w:w="2392" w:type="dxa"/>
          </w:tcPr>
          <w:p w:rsidR="00246CEB" w:rsidRPr="0092341F" w:rsidRDefault="00246CEB" w:rsidP="0092341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95" w:type="dxa"/>
          </w:tcPr>
          <w:p w:rsidR="00246CEB" w:rsidRPr="0092341F" w:rsidRDefault="00246CEB" w:rsidP="0092341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2017, тыс. руб.</w:t>
            </w:r>
          </w:p>
        </w:tc>
        <w:tc>
          <w:tcPr>
            <w:tcW w:w="1739" w:type="dxa"/>
          </w:tcPr>
          <w:p w:rsidR="00246CEB" w:rsidRPr="0092341F" w:rsidRDefault="00246CEB" w:rsidP="0092341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2018, тыс. руб.</w:t>
            </w:r>
          </w:p>
        </w:tc>
        <w:tc>
          <w:tcPr>
            <w:tcW w:w="2393" w:type="dxa"/>
          </w:tcPr>
          <w:p w:rsidR="00246CEB" w:rsidRPr="0092341F" w:rsidRDefault="00246CEB" w:rsidP="0092341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Изм. 2018 по сравнению с 2017</w:t>
            </w:r>
          </w:p>
        </w:tc>
      </w:tr>
      <w:tr w:rsidR="00246CEB" w:rsidRPr="0092341F" w:rsidTr="00246CEB">
        <w:trPr>
          <w:jc w:val="center"/>
        </w:trPr>
        <w:tc>
          <w:tcPr>
            <w:tcW w:w="2392" w:type="dxa"/>
          </w:tcPr>
          <w:p w:rsidR="00246CEB" w:rsidRPr="0092341F" w:rsidRDefault="00246CEB" w:rsidP="0092341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695" w:type="dxa"/>
          </w:tcPr>
          <w:p w:rsidR="00246CEB" w:rsidRPr="0092341F" w:rsidRDefault="00246CEB" w:rsidP="0092341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20 300</w:t>
            </w:r>
          </w:p>
        </w:tc>
        <w:tc>
          <w:tcPr>
            <w:tcW w:w="1739" w:type="dxa"/>
          </w:tcPr>
          <w:p w:rsidR="00246CEB" w:rsidRPr="0092341F" w:rsidRDefault="00246CEB" w:rsidP="0092341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8422</w:t>
            </w:r>
          </w:p>
        </w:tc>
        <w:tc>
          <w:tcPr>
            <w:tcW w:w="2393" w:type="dxa"/>
          </w:tcPr>
          <w:p w:rsidR="00246CEB" w:rsidRPr="0092341F" w:rsidRDefault="00246CEB" w:rsidP="0092341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341F">
              <w:rPr>
                <w:rFonts w:ascii="Times New Roman" w:hAnsi="Times New Roman" w:cs="Times New Roman"/>
                <w:sz w:val="28"/>
                <w:szCs w:val="28"/>
              </w:rPr>
              <w:t>-11 878</w:t>
            </w:r>
          </w:p>
        </w:tc>
      </w:tr>
    </w:tbl>
    <w:p w:rsidR="00246CEB" w:rsidRPr="0092341F" w:rsidRDefault="00246CEB" w:rsidP="009234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CEB" w:rsidRPr="0092341F" w:rsidRDefault="00246CEB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sz w:val="28"/>
          <w:szCs w:val="28"/>
        </w:rPr>
        <w:lastRenderedPageBreak/>
        <w:t>За анализируемый период дебиторская задолженность значительно снизилась с 20 300 тыс. руб. в 2017г. до 8 422 тыс. руб. в 2018г.</w:t>
      </w:r>
    </w:p>
    <w:p w:rsidR="000501F5" w:rsidRPr="0092341F" w:rsidRDefault="000501F5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F5" w:rsidRPr="0092341F" w:rsidRDefault="000501F5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E352F" wp14:editId="3A3B26E3">
            <wp:extent cx="4505325" cy="2105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6CEB" w:rsidRPr="0092341F" w:rsidRDefault="000501F5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sz w:val="28"/>
          <w:szCs w:val="28"/>
        </w:rPr>
        <w:t xml:space="preserve">Рис. 1 - </w:t>
      </w:r>
      <w:r w:rsidR="00246CEB" w:rsidRPr="0092341F">
        <w:rPr>
          <w:rFonts w:ascii="Times New Roman" w:hAnsi="Times New Roman" w:cs="Times New Roman"/>
          <w:sz w:val="28"/>
          <w:szCs w:val="28"/>
        </w:rPr>
        <w:t>Круговые диаграммы структуры дебиторской задолженности з</w:t>
      </w:r>
      <w:r w:rsidRPr="0092341F">
        <w:rPr>
          <w:rFonts w:ascii="Times New Roman" w:hAnsi="Times New Roman" w:cs="Times New Roman"/>
          <w:sz w:val="28"/>
          <w:szCs w:val="28"/>
        </w:rPr>
        <w:t>а 2017 и 2018</w:t>
      </w:r>
      <w:r w:rsidR="00246CEB" w:rsidRPr="009234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01F5" w:rsidRPr="0092341F" w:rsidRDefault="000501F5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sz w:val="28"/>
          <w:szCs w:val="28"/>
        </w:rPr>
        <w:t>Оборачиваемость дебиторской задолженности (</w:t>
      </w: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1752F1" w:rsidRPr="001752F1">
        <w:rPr>
          <w:rFonts w:ascii="Times New Roman" w:hAnsi="Times New Roman" w:cs="Times New Roman"/>
          <w:sz w:val="28"/>
          <w:szCs w:val="28"/>
        </w:rPr>
        <w:t>.</w:t>
      </w:r>
      <w:r w:rsidRPr="0092341F">
        <w:rPr>
          <w:rFonts w:ascii="Times New Roman" w:hAnsi="Times New Roman" w:cs="Times New Roman"/>
          <w:sz w:val="28"/>
          <w:szCs w:val="28"/>
        </w:rPr>
        <w:t xml:space="preserve"> оборачиваемости)</w:t>
      </w:r>
      <w:r w:rsidR="001752F1" w:rsidRPr="001752F1">
        <w:rPr>
          <w:rFonts w:ascii="Times New Roman" w:hAnsi="Times New Roman" w:cs="Times New Roman"/>
          <w:sz w:val="28"/>
          <w:szCs w:val="28"/>
        </w:rPr>
        <w:t xml:space="preserve"> </w:t>
      </w:r>
      <w:r w:rsidRPr="0092341F">
        <w:rPr>
          <w:rFonts w:ascii="Times New Roman" w:hAnsi="Times New Roman" w:cs="Times New Roman"/>
          <w:sz w:val="28"/>
          <w:szCs w:val="28"/>
        </w:rPr>
        <w:t>=</w:t>
      </w:r>
      <w:r w:rsidR="001752F1" w:rsidRPr="001752F1">
        <w:rPr>
          <w:rFonts w:ascii="Times New Roman" w:hAnsi="Times New Roman" w:cs="Times New Roman"/>
          <w:sz w:val="28"/>
          <w:szCs w:val="28"/>
        </w:rPr>
        <w:t xml:space="preserve"> </w:t>
      </w:r>
      <w:r w:rsidRPr="0092341F">
        <w:rPr>
          <w:rFonts w:ascii="Times New Roman" w:hAnsi="Times New Roman" w:cs="Times New Roman"/>
          <w:sz w:val="28"/>
          <w:szCs w:val="28"/>
        </w:rPr>
        <w:t>Выручка от продажи / Средняя дебиторская задолженность</w:t>
      </w:r>
      <w:r w:rsidR="0092341F" w:rsidRPr="0092341F">
        <w:rPr>
          <w:rFonts w:ascii="Times New Roman" w:hAnsi="Times New Roman" w:cs="Times New Roman"/>
          <w:sz w:val="28"/>
          <w:szCs w:val="28"/>
        </w:rPr>
        <w:t>:</w:t>
      </w:r>
    </w:p>
    <w:p w:rsidR="000501F5" w:rsidRPr="0092341F" w:rsidRDefault="0092341F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Одз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>(2017)=254 903/14 361=17,75</w:t>
      </w:r>
    </w:p>
    <w:p w:rsidR="0092341F" w:rsidRPr="0092341F" w:rsidRDefault="0092341F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Одз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>(2018)=149 826/14 361=10,43</w:t>
      </w:r>
    </w:p>
    <w:p w:rsidR="000501F5" w:rsidRPr="0092341F" w:rsidRDefault="000501F5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sz w:val="28"/>
          <w:szCs w:val="28"/>
        </w:rPr>
        <w:t>Оборачиваем</w:t>
      </w:r>
      <w:r w:rsidR="001752F1">
        <w:rPr>
          <w:rFonts w:ascii="Times New Roman" w:hAnsi="Times New Roman" w:cs="Times New Roman"/>
          <w:sz w:val="28"/>
          <w:szCs w:val="28"/>
        </w:rPr>
        <w:t>ость дебиторской задолженности</w:t>
      </w:r>
      <w:r w:rsidRPr="0092341F">
        <w:rPr>
          <w:rFonts w:ascii="Times New Roman" w:hAnsi="Times New Roman" w:cs="Times New Roman"/>
          <w:sz w:val="28"/>
          <w:szCs w:val="28"/>
        </w:rPr>
        <w:t xml:space="preserve"> </w:t>
      </w:r>
      <w:r w:rsidR="001752F1" w:rsidRPr="001752F1">
        <w:rPr>
          <w:rFonts w:ascii="Times New Roman" w:hAnsi="Times New Roman" w:cs="Times New Roman"/>
          <w:sz w:val="28"/>
          <w:szCs w:val="28"/>
        </w:rPr>
        <w:t>(</w:t>
      </w:r>
      <w:r w:rsidRPr="0092341F">
        <w:rPr>
          <w:rFonts w:ascii="Times New Roman" w:hAnsi="Times New Roman" w:cs="Times New Roman"/>
          <w:sz w:val="28"/>
          <w:szCs w:val="28"/>
        </w:rPr>
        <w:t>днях</w:t>
      </w:r>
      <w:r w:rsidR="001752F1" w:rsidRPr="001752F1">
        <w:rPr>
          <w:rFonts w:ascii="Times New Roman" w:hAnsi="Times New Roman" w:cs="Times New Roman"/>
          <w:sz w:val="28"/>
          <w:szCs w:val="28"/>
        </w:rPr>
        <w:t>)</w:t>
      </w:r>
      <w:r w:rsidR="001752F1">
        <w:rPr>
          <w:rFonts w:ascii="Times New Roman" w:hAnsi="Times New Roman" w:cs="Times New Roman"/>
          <w:sz w:val="28"/>
          <w:szCs w:val="28"/>
        </w:rPr>
        <w:t xml:space="preserve"> = 360 дней/</w:t>
      </w:r>
      <w:r w:rsidR="001752F1" w:rsidRPr="001752F1">
        <w:rPr>
          <w:rFonts w:ascii="Times New Roman" w:hAnsi="Times New Roman" w:cs="Times New Roman"/>
          <w:sz w:val="28"/>
          <w:szCs w:val="28"/>
        </w:rPr>
        <w:t xml:space="preserve"> </w:t>
      </w:r>
      <w:r w:rsidRPr="0092341F">
        <w:rPr>
          <w:rFonts w:ascii="Times New Roman" w:hAnsi="Times New Roman" w:cs="Times New Roman"/>
          <w:sz w:val="28"/>
          <w:szCs w:val="28"/>
        </w:rPr>
        <w:t>Оборачиваемость дебиторской задолженности (</w:t>
      </w: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1752F1" w:rsidRPr="001752F1">
        <w:rPr>
          <w:rFonts w:ascii="Times New Roman" w:hAnsi="Times New Roman" w:cs="Times New Roman"/>
          <w:sz w:val="28"/>
          <w:szCs w:val="28"/>
        </w:rPr>
        <w:t>.</w:t>
      </w:r>
      <w:r w:rsidRPr="0092341F">
        <w:rPr>
          <w:rFonts w:ascii="Times New Roman" w:hAnsi="Times New Roman" w:cs="Times New Roman"/>
          <w:sz w:val="28"/>
          <w:szCs w:val="28"/>
        </w:rPr>
        <w:t xml:space="preserve"> оборачиваемости)</w:t>
      </w:r>
      <w:r w:rsidR="0092341F" w:rsidRPr="0092341F">
        <w:rPr>
          <w:rFonts w:ascii="Times New Roman" w:hAnsi="Times New Roman" w:cs="Times New Roman"/>
          <w:sz w:val="28"/>
          <w:szCs w:val="28"/>
        </w:rPr>
        <w:t>:</w:t>
      </w:r>
    </w:p>
    <w:p w:rsidR="000501F5" w:rsidRPr="0092341F" w:rsidRDefault="0092341F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Пдз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 xml:space="preserve">(2017)=360/17,75=20 </w:t>
      </w: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>.</w:t>
      </w:r>
    </w:p>
    <w:p w:rsidR="0092341F" w:rsidRPr="0092341F" w:rsidRDefault="0092341F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Пдз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 xml:space="preserve">(2018)=360/10,43=35 </w:t>
      </w:r>
      <w:proofErr w:type="spellStart"/>
      <w:r w:rsidRPr="0092341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>.</w:t>
      </w:r>
    </w:p>
    <w:p w:rsidR="00246CEB" w:rsidRPr="0092341F" w:rsidRDefault="00246CEB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sz w:val="28"/>
          <w:szCs w:val="28"/>
        </w:rPr>
        <w:t>Рассчитаем долю дебиторской задолженности в общем объеме оборотных активов (</w:t>
      </w:r>
      <w:proofErr w:type="spellStart"/>
      <w:r w:rsidRPr="0092341F">
        <w:rPr>
          <w:rFonts w:ascii="Times New Roman" w:hAnsi="Times New Roman" w:cs="Times New Roman"/>
          <w:sz w:val="28"/>
          <w:szCs w:val="28"/>
        </w:rPr>
        <w:t>Удз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>).</w:t>
      </w:r>
    </w:p>
    <w:p w:rsidR="00246CEB" w:rsidRPr="0092341F" w:rsidRDefault="00246CEB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Удз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 xml:space="preserve"> = (Дебиторская задолженность / Оборотные активы) х 100%</w:t>
      </w:r>
    </w:p>
    <w:p w:rsidR="00246CEB" w:rsidRPr="0092341F" w:rsidRDefault="00246CEB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Удз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 xml:space="preserve"> 2017г.= (20 300 тыс. руб. / 39 910 тыс. руб.) х 100 = 51 %</w:t>
      </w:r>
    </w:p>
    <w:p w:rsidR="00246CEB" w:rsidRPr="0092341F" w:rsidRDefault="00246CEB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1F">
        <w:rPr>
          <w:rFonts w:ascii="Times New Roman" w:hAnsi="Times New Roman" w:cs="Times New Roman"/>
          <w:sz w:val="28"/>
          <w:szCs w:val="28"/>
        </w:rPr>
        <w:t>Удз</w:t>
      </w:r>
      <w:proofErr w:type="spellEnd"/>
      <w:r w:rsidRPr="0092341F">
        <w:rPr>
          <w:rFonts w:ascii="Times New Roman" w:hAnsi="Times New Roman" w:cs="Times New Roman"/>
          <w:sz w:val="28"/>
          <w:szCs w:val="28"/>
        </w:rPr>
        <w:t xml:space="preserve"> 2018г.= (8 422 тыс. руб. / 25 191 тыс. руб.) х 100 = 33 %</w:t>
      </w:r>
    </w:p>
    <w:p w:rsidR="0041460B" w:rsidRPr="0092341F" w:rsidRDefault="00246CEB" w:rsidP="00923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1F">
        <w:rPr>
          <w:rFonts w:ascii="Times New Roman" w:hAnsi="Times New Roman" w:cs="Times New Roman"/>
          <w:sz w:val="28"/>
          <w:szCs w:val="28"/>
        </w:rPr>
        <w:t>Значительную часть оборотных активов составляет статья дебиторская задолженность, её доля составляет 51% в 2017 г., 33% в 2018 г. Если учитывать специфику деятельности предприятия, данный показатель можно считать приемлемым.</w:t>
      </w:r>
    </w:p>
    <w:p w:rsidR="0092341F" w:rsidRPr="0092341F" w:rsidRDefault="0092341F" w:rsidP="0092341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3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литературы</w:t>
      </w:r>
    </w:p>
    <w:p w:rsidR="0092341F" w:rsidRPr="0092341F" w:rsidRDefault="0092341F" w:rsidP="0092341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2341F">
        <w:rPr>
          <w:color w:val="000000"/>
          <w:sz w:val="28"/>
          <w:szCs w:val="28"/>
        </w:rPr>
        <w:t>1.</w:t>
      </w:r>
      <w:r w:rsidRPr="0092341F">
        <w:rPr>
          <w:sz w:val="28"/>
          <w:szCs w:val="28"/>
        </w:rPr>
        <w:t xml:space="preserve"> </w:t>
      </w:r>
      <w:r w:rsidRPr="0092341F">
        <w:rPr>
          <w:color w:val="000000"/>
          <w:sz w:val="28"/>
          <w:szCs w:val="28"/>
        </w:rPr>
        <w:t>Сысоева И.А. дебиторская и кредиторская задолжен</w:t>
      </w:r>
      <w:r w:rsidR="00EE3205">
        <w:rPr>
          <w:color w:val="000000"/>
          <w:sz w:val="28"/>
          <w:szCs w:val="28"/>
        </w:rPr>
        <w:t>ность // Бухгалтерский учет, 2016</w:t>
      </w:r>
      <w:r w:rsidRPr="0092341F">
        <w:rPr>
          <w:color w:val="000000"/>
          <w:sz w:val="28"/>
          <w:szCs w:val="28"/>
        </w:rPr>
        <w:t>.- №1 с.13-15;</w:t>
      </w:r>
    </w:p>
    <w:p w:rsidR="0092341F" w:rsidRPr="0092341F" w:rsidRDefault="0092341F" w:rsidP="0092341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2341F">
        <w:rPr>
          <w:color w:val="000000"/>
          <w:sz w:val="28"/>
          <w:szCs w:val="28"/>
        </w:rPr>
        <w:t xml:space="preserve">2. Финансы предприятий: </w:t>
      </w:r>
      <w:r w:rsidR="00B23DBC">
        <w:rPr>
          <w:color w:val="000000"/>
          <w:sz w:val="28"/>
          <w:szCs w:val="28"/>
        </w:rPr>
        <w:t>Пособие для вузов/</w:t>
      </w:r>
      <w:r w:rsidRPr="0092341F">
        <w:rPr>
          <w:color w:val="000000"/>
          <w:sz w:val="28"/>
          <w:szCs w:val="28"/>
        </w:rPr>
        <w:t xml:space="preserve">Н.В. Колчина, Г.Б. Поляк, П.П. Павлова и др.; Под ред. проф. Н.В. Колчиной. – 2-е изд., </w:t>
      </w:r>
      <w:proofErr w:type="spellStart"/>
      <w:r w:rsidRPr="0092341F">
        <w:rPr>
          <w:color w:val="000000"/>
          <w:sz w:val="28"/>
          <w:szCs w:val="28"/>
        </w:rPr>
        <w:t>перер</w:t>
      </w:r>
      <w:r w:rsidR="00EE3205">
        <w:rPr>
          <w:color w:val="000000"/>
          <w:sz w:val="28"/>
          <w:szCs w:val="28"/>
        </w:rPr>
        <w:t>аб</w:t>
      </w:r>
      <w:proofErr w:type="spellEnd"/>
      <w:r w:rsidR="00EE3205">
        <w:rPr>
          <w:color w:val="000000"/>
          <w:sz w:val="28"/>
          <w:szCs w:val="28"/>
        </w:rPr>
        <w:t>. и доп.-М.: ЮНИТИ – ДАНА, 2015</w:t>
      </w:r>
      <w:r w:rsidRPr="0092341F">
        <w:rPr>
          <w:color w:val="000000"/>
          <w:sz w:val="28"/>
          <w:szCs w:val="28"/>
        </w:rPr>
        <w:t>.- 447с.;</w:t>
      </w:r>
    </w:p>
    <w:p w:rsidR="0092341F" w:rsidRPr="0092341F" w:rsidRDefault="0092341F" w:rsidP="0092341F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2341F">
        <w:rPr>
          <w:color w:val="000000"/>
          <w:sz w:val="28"/>
          <w:szCs w:val="28"/>
        </w:rPr>
        <w:t xml:space="preserve">3. Сайт ООО «Мостостроительная фирма МПФ» - </w:t>
      </w:r>
      <w:proofErr w:type="spellStart"/>
      <w:r w:rsidRPr="0092341F">
        <w:rPr>
          <w:color w:val="000000"/>
          <w:sz w:val="28"/>
          <w:szCs w:val="28"/>
        </w:rPr>
        <w:t>Эл</w:t>
      </w:r>
      <w:proofErr w:type="gramStart"/>
      <w:r w:rsidRPr="0092341F">
        <w:rPr>
          <w:color w:val="000000"/>
          <w:sz w:val="28"/>
          <w:szCs w:val="28"/>
        </w:rPr>
        <w:t>.р</w:t>
      </w:r>
      <w:proofErr w:type="gramEnd"/>
      <w:r w:rsidRPr="0092341F">
        <w:rPr>
          <w:color w:val="000000"/>
          <w:sz w:val="28"/>
          <w:szCs w:val="28"/>
        </w:rPr>
        <w:t>есурс</w:t>
      </w:r>
      <w:proofErr w:type="spellEnd"/>
      <w:r w:rsidRPr="0092341F">
        <w:rPr>
          <w:color w:val="000000"/>
          <w:sz w:val="28"/>
          <w:szCs w:val="28"/>
        </w:rPr>
        <w:t xml:space="preserve">//Режим доступа: </w:t>
      </w:r>
      <w:hyperlink r:id="rId13" w:history="1">
        <w:r w:rsidRPr="0092341F">
          <w:rPr>
            <w:rStyle w:val="a4"/>
            <w:color w:val="auto"/>
            <w:sz w:val="28"/>
            <w:szCs w:val="28"/>
          </w:rPr>
          <w:t>https://www.rusprofile.ru/id/2675153</w:t>
        </w:r>
      </w:hyperlink>
      <w:r w:rsidRPr="0092341F">
        <w:rPr>
          <w:color w:val="000000"/>
          <w:sz w:val="28"/>
          <w:szCs w:val="28"/>
        </w:rPr>
        <w:t xml:space="preserve"> </w:t>
      </w:r>
    </w:p>
    <w:p w:rsidR="0092341F" w:rsidRPr="0092341F" w:rsidRDefault="0092341F" w:rsidP="0092341F">
      <w:pPr>
        <w:ind w:firstLine="709"/>
        <w:jc w:val="both"/>
        <w:rPr>
          <w:color w:val="000000"/>
          <w:sz w:val="27"/>
          <w:szCs w:val="27"/>
        </w:rPr>
      </w:pPr>
    </w:p>
    <w:p w:rsidR="000501F5" w:rsidRDefault="000501F5" w:rsidP="00246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501F5" w:rsidRPr="00246CEB" w:rsidRDefault="000501F5" w:rsidP="00246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01F5" w:rsidRPr="0024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53F"/>
    <w:multiLevelType w:val="hybridMultilevel"/>
    <w:tmpl w:val="1ACA2916"/>
    <w:lvl w:ilvl="0" w:tplc="986269C4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42"/>
    <w:rsid w:val="000501F5"/>
    <w:rsid w:val="00154342"/>
    <w:rsid w:val="001752F1"/>
    <w:rsid w:val="00246CEB"/>
    <w:rsid w:val="00335506"/>
    <w:rsid w:val="0041460B"/>
    <w:rsid w:val="00602D8C"/>
    <w:rsid w:val="008333BB"/>
    <w:rsid w:val="0092341F"/>
    <w:rsid w:val="00B21C5A"/>
    <w:rsid w:val="00B23DBC"/>
    <w:rsid w:val="00E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21C5A"/>
    <w:rPr>
      <w:strike w:val="0"/>
      <w:dstrike w:val="0"/>
      <w:color w:val="C82112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24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B21C5A"/>
    <w:rPr>
      <w:strike w:val="0"/>
      <w:dstrike w:val="0"/>
      <w:color w:val="C82112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24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251000" TargetMode="External"/><Relationship Id="rId13" Type="http://schemas.openxmlformats.org/officeDocument/2006/relationships/hyperlink" Target="https://www.rusprofile.ru/id/26751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profile.ru/codes/412000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profile.ru/codes/421100/nizhegorodskaya-oblast" TargetMode="External"/><Relationship Id="rId11" Type="http://schemas.openxmlformats.org/officeDocument/2006/relationships/hyperlink" Target="http://www.rusprofile.ru/codes/432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profile.ru/codes/42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profile.ru/codes/259000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Дебиторская задоженность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#,##0">
                  <c:v>20300</c:v>
                </c:pt>
                <c:pt idx="1">
                  <c:v>8422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2020-05-24T19:12:00Z</dcterms:created>
  <dcterms:modified xsi:type="dcterms:W3CDTF">2020-05-24T20:45:00Z</dcterms:modified>
</cp:coreProperties>
</file>