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9A" w:rsidRPr="00C74615" w:rsidRDefault="00C41902" w:rsidP="000A249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A249A">
        <w:rPr>
          <w:rFonts w:ascii="Times New Roman" w:hAnsi="Times New Roman" w:cs="Times New Roman"/>
          <w:i/>
          <w:sz w:val="28"/>
          <w:szCs w:val="28"/>
        </w:rPr>
        <w:t>Технические науки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A249A" w:rsidRPr="0051326D" w:rsidRDefault="00CF0A11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А.С., Евстафьев В.В.</w:t>
      </w:r>
    </w:p>
    <w:p w:rsidR="000A249A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3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9194830"/>
      <w:r w:rsidR="0042358A">
        <w:rPr>
          <w:rFonts w:ascii="Times New Roman" w:hAnsi="Times New Roman" w:cs="Times New Roman"/>
          <w:b/>
          <w:sz w:val="28"/>
          <w:szCs w:val="28"/>
        </w:rPr>
        <w:t>Обоснование применения</w:t>
      </w:r>
      <w:r w:rsidRPr="004E13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голографи</w:t>
      </w:r>
      <w:r w:rsidR="00A102A3">
        <w:rPr>
          <w:rFonts w:ascii="Times New Roman" w:eastAsia="Calibri" w:hAnsi="Times New Roman" w:cs="Times New Roman"/>
          <w:b/>
          <w:sz w:val="28"/>
          <w:szCs w:val="28"/>
        </w:rPr>
        <w:t>и дл</w:t>
      </w:r>
      <w:r>
        <w:rPr>
          <w:rFonts w:ascii="Times New Roman" w:eastAsia="Calibri" w:hAnsi="Times New Roman" w:cs="Times New Roman"/>
          <w:b/>
          <w:sz w:val="28"/>
          <w:szCs w:val="28"/>
        </w:rPr>
        <w:t>я оценки уровн</w:t>
      </w:r>
      <w:r w:rsidR="0042358A">
        <w:rPr>
          <w:rFonts w:ascii="Times New Roman" w:eastAsia="Calibri" w:hAnsi="Times New Roman" w:cs="Times New Roman"/>
          <w:b/>
          <w:sz w:val="28"/>
          <w:szCs w:val="28"/>
        </w:rPr>
        <w:t xml:space="preserve">я дисперсии в </w:t>
      </w:r>
      <w:r w:rsidR="00A102A3">
        <w:rPr>
          <w:rFonts w:ascii="Times New Roman" w:eastAsia="Calibri" w:hAnsi="Times New Roman" w:cs="Times New Roman"/>
          <w:b/>
          <w:sz w:val="28"/>
          <w:szCs w:val="28"/>
        </w:rPr>
        <w:t xml:space="preserve">оптическом волокне </w:t>
      </w:r>
    </w:p>
    <w:bookmarkEnd w:id="0"/>
    <w:p w:rsidR="000A249A" w:rsidRPr="00394FF4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4A68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 w:rsidR="009A615F" w:rsidRPr="00394FF4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5F" w:rsidRPr="00394FF4" w:rsidRDefault="009A615F" w:rsidP="009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>], который обеспечивает реальную возможность амплитудно-апертурного управления энергетической эффективностью интерференционного 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Pr="00554A68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 w:rsidR="00A16A1E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="00A16A1E"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="00A16A1E" w:rsidRPr="00A16A1E">
        <w:rPr>
          <w:rFonts w:ascii="Times New Roman" w:hAnsi="Times New Roman" w:cs="Times New Roman"/>
          <w:sz w:val="28"/>
          <w:szCs w:val="28"/>
        </w:rPr>
        <w:t>4</w:t>
      </w:r>
      <w:r w:rsidR="00A16A1E">
        <w:rPr>
          <w:rFonts w:ascii="Times New Roman" w:hAnsi="Times New Roman" w:cs="Times New Roman"/>
          <w:sz w:val="28"/>
          <w:szCs w:val="28"/>
        </w:rPr>
        <w:t>]</w:t>
      </w:r>
      <w:r w:rsidR="00A16A1E"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68" w:rsidRPr="00064E3F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>ческого волнового фронта, анализируемого светового потока, для интерференционных полос нулевого порядка при нормальном перемещении 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 xml:space="preserve">Митрохин В.Е. Измерения в волоконно-оптических системах передачи: учеб. пособие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93"/>
    <w:rsid w:val="00064E3F"/>
    <w:rsid w:val="000A249A"/>
    <w:rsid w:val="0042358A"/>
    <w:rsid w:val="00434729"/>
    <w:rsid w:val="0051326D"/>
    <w:rsid w:val="00523274"/>
    <w:rsid w:val="00554A68"/>
    <w:rsid w:val="00601C93"/>
    <w:rsid w:val="006C083F"/>
    <w:rsid w:val="00876F2D"/>
    <w:rsid w:val="009142A9"/>
    <w:rsid w:val="009A615F"/>
    <w:rsid w:val="00A102A3"/>
    <w:rsid w:val="00A16A1E"/>
    <w:rsid w:val="00C235CB"/>
    <w:rsid w:val="00C41902"/>
    <w:rsid w:val="00C8611E"/>
    <w:rsid w:val="00C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9D6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Vlad Semenov</cp:lastModifiedBy>
  <cp:revision>4</cp:revision>
  <dcterms:created xsi:type="dcterms:W3CDTF">2020-04-28T16:50:00Z</dcterms:created>
  <dcterms:modified xsi:type="dcterms:W3CDTF">2020-04-28T16:52:00Z</dcterms:modified>
</cp:coreProperties>
</file>