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B5" w:rsidRDefault="007316B5" w:rsidP="007316B5">
      <w:pPr>
        <w:pStyle w:val="3"/>
        <w:jc w:val="center"/>
        <w:rPr>
          <w:rFonts w:eastAsia="Calibri"/>
          <w:szCs w:val="26"/>
        </w:rPr>
      </w:pPr>
      <w:r w:rsidRPr="00C46E7E">
        <w:rPr>
          <w:rFonts w:eastAsia="Calibri"/>
          <w:szCs w:val="26"/>
        </w:rPr>
        <w:t>Устойчивое развитие агропромышленного комплекса</w:t>
      </w:r>
    </w:p>
    <w:p w:rsidR="007316B5" w:rsidRDefault="007316B5" w:rsidP="007316B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16B5" w:rsidRDefault="007316B5" w:rsidP="007316B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Манькутов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Даниил Алексеевич</w:t>
      </w:r>
    </w:p>
    <w:p w:rsidR="007316B5" w:rsidRPr="007316B5" w:rsidRDefault="007316B5" w:rsidP="007316B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6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КНИТУ-КАИ </w:t>
      </w:r>
    </w:p>
    <w:p w:rsidR="007316B5" w:rsidRPr="007316B5" w:rsidRDefault="007316B5" w:rsidP="007316B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16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к.э.н. доцент кафедры </w:t>
      </w:r>
      <w:proofErr w:type="spellStart"/>
      <w:r w:rsidRPr="007316B5">
        <w:rPr>
          <w:rFonts w:ascii="Times New Roman" w:eastAsia="Times New Roman" w:hAnsi="Times New Roman" w:cs="Times New Roman"/>
          <w:sz w:val="28"/>
          <w:szCs w:val="28"/>
          <w:lang w:eastAsia="zh-CN"/>
        </w:rPr>
        <w:t>ЭиМ</w:t>
      </w:r>
      <w:proofErr w:type="spellEnd"/>
      <w:r w:rsidRPr="007316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Полюшко Ю.Н.</w:t>
      </w:r>
    </w:p>
    <w:p w:rsidR="007316B5" w:rsidRDefault="007316B5" w:rsidP="005B1132">
      <w:pPr>
        <w:pStyle w:val="a3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</w:p>
    <w:p w:rsidR="005B1132" w:rsidRPr="0028327C" w:rsidRDefault="005B1132" w:rsidP="005B11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1132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664">
        <w:rPr>
          <w:rFonts w:ascii="Times New Roman" w:eastAsia="Calibri" w:hAnsi="Times New Roman" w:cs="Times New Roman"/>
          <w:sz w:val="26"/>
          <w:szCs w:val="26"/>
        </w:rPr>
        <w:t xml:space="preserve">Сельское хозяйство представляет собой важнейшую и особую сферу экономической деятельности по производству сельскохозяйственной продукции для обеспечения населения качественным продовольствием, промышленности – сырьем и содействия устойчивому развитию сельских территорий. </w:t>
      </w:r>
    </w:p>
    <w:p w:rsidR="005B1132" w:rsidRPr="00F27664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664">
        <w:rPr>
          <w:rFonts w:ascii="Times New Roman" w:eastAsia="Calibri" w:hAnsi="Times New Roman" w:cs="Times New Roman"/>
          <w:sz w:val="26"/>
          <w:szCs w:val="26"/>
        </w:rPr>
        <w:t xml:space="preserve">Цель: устойчивое развитие агропромышленного 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F27664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мплекса региона</w:t>
      </w:r>
      <w:r w:rsidRPr="00F27664">
        <w:rPr>
          <w:rFonts w:ascii="Times New Roman" w:eastAsia="Calibri" w:hAnsi="Times New Roman" w:cs="Times New Roman"/>
          <w:sz w:val="26"/>
          <w:szCs w:val="26"/>
        </w:rPr>
        <w:t xml:space="preserve">, повышение конкурентоспособности 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F27664">
        <w:rPr>
          <w:rFonts w:ascii="Times New Roman" w:eastAsia="Calibri" w:hAnsi="Times New Roman" w:cs="Times New Roman"/>
          <w:sz w:val="26"/>
          <w:szCs w:val="26"/>
        </w:rPr>
        <w:t>экономической эффективности, развитие сельск</w:t>
      </w:r>
      <w:r>
        <w:rPr>
          <w:rFonts w:ascii="Times New Roman" w:eastAsia="Calibri" w:hAnsi="Times New Roman" w:cs="Times New Roman"/>
          <w:sz w:val="26"/>
          <w:szCs w:val="26"/>
        </w:rPr>
        <w:t>их</w:t>
      </w:r>
      <w:r w:rsidRPr="00F27664">
        <w:rPr>
          <w:rFonts w:ascii="Times New Roman" w:eastAsia="Calibri" w:hAnsi="Times New Roman" w:cs="Times New Roman"/>
          <w:sz w:val="26"/>
          <w:szCs w:val="26"/>
        </w:rPr>
        <w:t xml:space="preserve"> т</w:t>
      </w:r>
      <w:r>
        <w:rPr>
          <w:rFonts w:ascii="Times New Roman" w:eastAsia="Calibri" w:hAnsi="Times New Roman" w:cs="Times New Roman"/>
          <w:sz w:val="26"/>
          <w:szCs w:val="26"/>
        </w:rPr>
        <w:t>ерриторий</w:t>
      </w:r>
      <w:r w:rsidRPr="00F27664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5B1132" w:rsidRPr="00F27664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664">
        <w:rPr>
          <w:rFonts w:ascii="Times New Roman" w:eastAsia="Calibri" w:hAnsi="Times New Roman" w:cs="Times New Roman"/>
          <w:sz w:val="26"/>
          <w:szCs w:val="26"/>
        </w:rPr>
        <w:t>Задачи:</w:t>
      </w:r>
    </w:p>
    <w:p w:rsidR="005B1132" w:rsidRPr="00F27664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664">
        <w:rPr>
          <w:rFonts w:ascii="Times New Roman" w:eastAsia="Calibri" w:hAnsi="Times New Roman" w:cs="Times New Roman"/>
          <w:sz w:val="26"/>
          <w:szCs w:val="26"/>
        </w:rPr>
        <w:t xml:space="preserve">стимулирование развития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основных </w:t>
      </w:r>
      <w:r w:rsidRPr="00F27664">
        <w:rPr>
          <w:rFonts w:ascii="Times New Roman" w:eastAsia="Calibri" w:hAnsi="Times New Roman" w:cs="Times New Roman"/>
          <w:sz w:val="26"/>
          <w:szCs w:val="26"/>
        </w:rPr>
        <w:t>отраслей сельского хозяйства и регулирование рынков сельскохозяйственной продукции, сырья и продовольствия;</w:t>
      </w:r>
    </w:p>
    <w:p w:rsidR="005B1132" w:rsidRPr="00F27664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664">
        <w:rPr>
          <w:rFonts w:ascii="Times New Roman" w:eastAsia="Calibri" w:hAnsi="Times New Roman" w:cs="Times New Roman"/>
          <w:sz w:val="26"/>
          <w:szCs w:val="26"/>
        </w:rPr>
        <w:t>развитие малого бизнеса на селе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 счёт поддержки семейных форм хозяйствования</w:t>
      </w:r>
      <w:r w:rsidRPr="00F2766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B1132" w:rsidRPr="00F27664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664">
        <w:rPr>
          <w:rFonts w:ascii="Times New Roman" w:eastAsia="Calibri" w:hAnsi="Times New Roman" w:cs="Times New Roman"/>
          <w:sz w:val="26"/>
          <w:szCs w:val="26"/>
        </w:rPr>
        <w:t xml:space="preserve">создание комфортных условий жизнедеятельности в сельской местности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F27664">
        <w:rPr>
          <w:rFonts w:ascii="Times New Roman" w:eastAsia="Calibri" w:hAnsi="Times New Roman" w:cs="Times New Roman"/>
          <w:sz w:val="26"/>
          <w:szCs w:val="26"/>
        </w:rPr>
        <w:t>еспублики;</w:t>
      </w:r>
    </w:p>
    <w:p w:rsidR="005B1132" w:rsidRPr="00F27664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664">
        <w:rPr>
          <w:rFonts w:ascii="Times New Roman" w:eastAsia="Calibri" w:hAnsi="Times New Roman" w:cs="Times New Roman"/>
          <w:sz w:val="26"/>
          <w:szCs w:val="26"/>
        </w:rPr>
        <w:t>стимулирование развития садоводческих, огороднических и дачных некоммерческих объединений граждан в Республике Хакасия;</w:t>
      </w:r>
    </w:p>
    <w:p w:rsidR="005B1132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защита</w:t>
      </w:r>
      <w:r w:rsidRPr="00F27664">
        <w:rPr>
          <w:rFonts w:ascii="Times New Roman" w:eastAsia="Calibri" w:hAnsi="Times New Roman" w:cs="Times New Roman"/>
          <w:sz w:val="26"/>
          <w:szCs w:val="26"/>
        </w:rPr>
        <w:t xml:space="preserve"> территории </w:t>
      </w:r>
      <w:r>
        <w:rPr>
          <w:rFonts w:ascii="Times New Roman" w:eastAsia="Calibri" w:hAnsi="Times New Roman" w:cs="Times New Roman"/>
          <w:sz w:val="26"/>
          <w:szCs w:val="26"/>
        </w:rPr>
        <w:t>и населения р</w:t>
      </w:r>
      <w:r w:rsidRPr="00F27664">
        <w:rPr>
          <w:rFonts w:ascii="Times New Roman" w:eastAsia="Calibri" w:hAnsi="Times New Roman" w:cs="Times New Roman"/>
          <w:sz w:val="26"/>
          <w:szCs w:val="26"/>
        </w:rPr>
        <w:t>еспубликиот заразных болезней животных из других субъектов Российской Федерации.</w:t>
      </w:r>
    </w:p>
    <w:p w:rsidR="005B1132" w:rsidRPr="00F27664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Основные п</w:t>
      </w:r>
      <w:r w:rsidRPr="00F27664">
        <w:rPr>
          <w:rFonts w:ascii="Times New Roman" w:eastAsia="Calibri" w:hAnsi="Times New Roman" w:cs="Times New Roman"/>
          <w:sz w:val="26"/>
          <w:szCs w:val="26"/>
        </w:rPr>
        <w:t>риоритеты:</w:t>
      </w:r>
    </w:p>
    <w:p w:rsidR="005B1132" w:rsidRPr="00F27664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664">
        <w:rPr>
          <w:rFonts w:ascii="Times New Roman" w:eastAsia="Calibri" w:hAnsi="Times New Roman" w:cs="Times New Roman"/>
          <w:sz w:val="26"/>
          <w:szCs w:val="26"/>
        </w:rPr>
        <w:t>создание условий функционирования сельского хозяйства и регулирования рынков сельскохозяйственной продукции, сырья и продовольствия;</w:t>
      </w:r>
    </w:p>
    <w:p w:rsidR="005B1132" w:rsidRPr="00F27664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664">
        <w:rPr>
          <w:rFonts w:ascii="Times New Roman" w:eastAsia="Calibri" w:hAnsi="Times New Roman" w:cs="Times New Roman"/>
          <w:sz w:val="26"/>
          <w:szCs w:val="26"/>
        </w:rPr>
        <w:t>развитие малых форм хозяйствования на селе;</w:t>
      </w:r>
    </w:p>
    <w:p w:rsidR="005B1132" w:rsidRPr="00F27664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664">
        <w:rPr>
          <w:rFonts w:ascii="Times New Roman" w:eastAsia="Calibri" w:hAnsi="Times New Roman" w:cs="Times New Roman"/>
          <w:sz w:val="26"/>
          <w:szCs w:val="26"/>
        </w:rPr>
        <w:t>устойчивое развитие сельских территорий.</w:t>
      </w:r>
    </w:p>
    <w:p w:rsidR="005B1132" w:rsidRPr="00F27664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664">
        <w:rPr>
          <w:rFonts w:ascii="Times New Roman" w:eastAsia="Calibri" w:hAnsi="Times New Roman" w:cs="Times New Roman"/>
          <w:sz w:val="26"/>
          <w:szCs w:val="26"/>
        </w:rPr>
        <w:t>Ожидаемые результаты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5B1132" w:rsidRPr="00BB0477" w:rsidRDefault="005B1132" w:rsidP="005B1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объё</w:t>
      </w:r>
      <w:r w:rsidRPr="00BB0477">
        <w:rPr>
          <w:rFonts w:ascii="Times New Roman" w:hAnsi="Times New Roman" w:cs="Times New Roman"/>
          <w:sz w:val="26"/>
          <w:szCs w:val="26"/>
        </w:rPr>
        <w:t>ма продукции сельского хозяйства всех сельскохозяйственных товаропроизводителей;</w:t>
      </w:r>
    </w:p>
    <w:p w:rsidR="005B1132" w:rsidRPr="00BB0477" w:rsidRDefault="005B1132" w:rsidP="005B1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477">
        <w:rPr>
          <w:rFonts w:ascii="Times New Roman" w:hAnsi="Times New Roman" w:cs="Times New Roman"/>
          <w:sz w:val="26"/>
          <w:szCs w:val="26"/>
        </w:rPr>
        <w:t xml:space="preserve">оптимизация структуры посевных площадей за счёт увеличения посевных площадей многолетних трав и </w:t>
      </w:r>
      <w:proofErr w:type="spellStart"/>
      <w:r w:rsidRPr="00BB0477">
        <w:rPr>
          <w:rFonts w:ascii="Times New Roman" w:hAnsi="Times New Roman" w:cs="Times New Roman"/>
          <w:sz w:val="26"/>
          <w:szCs w:val="26"/>
        </w:rPr>
        <w:t>сидеральных</w:t>
      </w:r>
      <w:proofErr w:type="spellEnd"/>
      <w:r w:rsidRPr="00BB0477">
        <w:rPr>
          <w:rFonts w:ascii="Times New Roman" w:hAnsi="Times New Roman" w:cs="Times New Roman"/>
          <w:sz w:val="26"/>
          <w:szCs w:val="26"/>
        </w:rPr>
        <w:t xml:space="preserve"> культур;</w:t>
      </w:r>
    </w:p>
    <w:p w:rsidR="005B1132" w:rsidRDefault="005B1132" w:rsidP="005B11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количества начинающих фермеров, количества семейных животноводческих ферм;</w:t>
      </w:r>
    </w:p>
    <w:p w:rsidR="005B1132" w:rsidRPr="00BB0477" w:rsidRDefault="005B1132" w:rsidP="005B11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общей площади введённого (приобретённого) жилья для граждан, проживающих в сельской местности, в том числе молодых семей и специалистов;</w:t>
      </w:r>
    </w:p>
    <w:p w:rsidR="005B1132" w:rsidRDefault="005B1132" w:rsidP="005B11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B0477">
        <w:rPr>
          <w:rFonts w:ascii="Times New Roman" w:hAnsi="Times New Roman" w:cs="Times New Roman"/>
          <w:sz w:val="26"/>
          <w:szCs w:val="26"/>
        </w:rPr>
        <w:t>беспечение безопасности в ветеринарно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BB0477">
        <w:rPr>
          <w:rFonts w:ascii="Times New Roman" w:hAnsi="Times New Roman" w:cs="Times New Roman"/>
          <w:sz w:val="26"/>
          <w:szCs w:val="26"/>
        </w:rPr>
        <w:t>санитарном отношении пр</w:t>
      </w:r>
      <w:r>
        <w:rPr>
          <w:rFonts w:ascii="Times New Roman" w:hAnsi="Times New Roman" w:cs="Times New Roman"/>
          <w:sz w:val="26"/>
          <w:szCs w:val="26"/>
        </w:rPr>
        <w:t>одуктов животного происхождения;</w:t>
      </w:r>
    </w:p>
    <w:p w:rsidR="005B1132" w:rsidRDefault="005B1132" w:rsidP="005B11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обновление парка сельскохозяйственной техники.</w:t>
      </w:r>
    </w:p>
    <w:p w:rsidR="005B1132" w:rsidRDefault="005B1132" w:rsidP="005B1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1132" w:rsidRPr="00C8584F" w:rsidRDefault="005B1132" w:rsidP="005B1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584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Агропромышленный комплекс</w:t>
      </w:r>
    </w:p>
    <w:p w:rsidR="005B1132" w:rsidRPr="00C8584F" w:rsidRDefault="005B1132" w:rsidP="005B113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B1132" w:rsidRPr="00C8584F" w:rsidRDefault="005B1132" w:rsidP="005B1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Сельское хозяйство является важнейшей отраслью экономической деятельности по обеспечению населения качественным продовольствием, обрабатывающих отраслей промышленности – сырьём. Рынок сельскохозяйственной продукции в регионе можно отнести к отраслевым рынкам с высокой конкуренцией и большим числом участников из состава мелких и крупных производителей. Так, в республике осуществляют деятельность </w:t>
      </w:r>
      <w:r w:rsidRPr="00C8584F">
        <w:rPr>
          <w:rFonts w:ascii="Times New Roman" w:eastAsia="Calibri" w:hAnsi="Times New Roman" w:cs="Times New Roman"/>
          <w:sz w:val="26"/>
          <w:szCs w:val="26"/>
        </w:rPr>
        <w:br/>
        <w:t>56 сельскохозяйственных организаций, более 1000 крестьянских (фермерских) хозяйств (далее – КФХ) и 74 тыс. личных подсобных хозяйств населения (далее – ЛПХ). В 2017 году доля отрасли в общем объёме ВРП составила 5,0%.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Объём производства сельскохозяйственной продукции в хозяйствах всех категорий в 2017 году в действующих ценах составил </w:t>
      </w:r>
      <w:r w:rsidRPr="00920751">
        <w:rPr>
          <w:rFonts w:ascii="Times New Roman" w:eastAsia="Calibri" w:hAnsi="Times New Roman" w:cs="Times New Roman"/>
          <w:sz w:val="26"/>
          <w:szCs w:val="26"/>
        </w:rPr>
        <w:t>14868,7 млн</w:t>
      </w: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 рублей или </w:t>
      </w:r>
      <w:r w:rsidRPr="00920751">
        <w:rPr>
          <w:rFonts w:ascii="Times New Roman" w:eastAsia="Calibri" w:hAnsi="Times New Roman" w:cs="Times New Roman"/>
          <w:sz w:val="26"/>
          <w:szCs w:val="26"/>
        </w:rPr>
        <w:t>100,7% к</w:t>
      </w: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 уровню 2016 года, в том числе продукции </w:t>
      </w:r>
      <w:r w:rsidRPr="00920751">
        <w:rPr>
          <w:rFonts w:ascii="Times New Roman" w:eastAsia="Calibri" w:hAnsi="Times New Roman" w:cs="Times New Roman"/>
          <w:sz w:val="26"/>
          <w:szCs w:val="26"/>
        </w:rPr>
        <w:t>растениеводства – 3445,3 млн рублей и 100,7%, продукции животноводства – 11423,4 млн рублей и 100,7%.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920751">
        <w:rPr>
          <w:rFonts w:ascii="Times New Roman" w:eastAsia="Calibri" w:hAnsi="Times New Roman" w:cs="Times New Roman"/>
          <w:sz w:val="26"/>
          <w:szCs w:val="26"/>
        </w:rPr>
        <w:t>2017</w:t>
      </w: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 году Республика Хакасия в рейтинге регионов по производству продукции сельского хозяйства в хозяйствах всех категорий занимала </w:t>
      </w:r>
      <w:r w:rsidRPr="00F963B9">
        <w:rPr>
          <w:rFonts w:ascii="Times New Roman" w:eastAsia="Calibri" w:hAnsi="Times New Roman" w:cs="Times New Roman"/>
          <w:sz w:val="26"/>
          <w:szCs w:val="26"/>
        </w:rPr>
        <w:t xml:space="preserve">67 место по России, 10 место − в СФО. Доля республики в произведенной продукции по России </w:t>
      </w: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составляла 0,3%, среди регионов СФО </w:t>
      </w:r>
      <w:r w:rsidRPr="00920751">
        <w:rPr>
          <w:rFonts w:ascii="Times New Roman" w:eastAsia="Calibri" w:hAnsi="Times New Roman" w:cs="Times New Roman"/>
          <w:sz w:val="26"/>
          <w:szCs w:val="26"/>
        </w:rPr>
        <w:t>– 2,6%.</w:t>
      </w: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 За период 2011–2017 годов объём производства продукции сельского хозяйства в сопоставимых ценах </w:t>
      </w:r>
      <w:r w:rsidRPr="00920751">
        <w:rPr>
          <w:rFonts w:ascii="Times New Roman" w:eastAsia="Calibri" w:hAnsi="Times New Roman" w:cs="Times New Roman"/>
          <w:sz w:val="26"/>
          <w:szCs w:val="26"/>
        </w:rPr>
        <w:t>снизился на 0,6%.</w:t>
      </w:r>
    </w:p>
    <w:p w:rsidR="005B1132" w:rsidRPr="00C8584F" w:rsidRDefault="005B1132" w:rsidP="005B1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В структуре произведённой сельскохозяйственной продукции за анализируемый период доля растениеводства в различные годы колебалась от 30,0% до 35,0% (2017 год – </w:t>
      </w:r>
      <w:r w:rsidRPr="00920751">
        <w:rPr>
          <w:rFonts w:ascii="Times New Roman" w:eastAsia="Calibri" w:hAnsi="Times New Roman" w:cs="Times New Roman"/>
          <w:sz w:val="26"/>
          <w:szCs w:val="26"/>
        </w:rPr>
        <w:t>23,2</w:t>
      </w: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%), доля животноводства − от 65,0% до </w:t>
      </w:r>
      <w:r w:rsidRPr="00920751">
        <w:rPr>
          <w:rFonts w:ascii="Times New Roman" w:eastAsia="Calibri" w:hAnsi="Times New Roman" w:cs="Times New Roman"/>
          <w:sz w:val="26"/>
          <w:szCs w:val="26"/>
        </w:rPr>
        <w:t>76,8% (76,8%).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1132" w:rsidRPr="00C8584F" w:rsidRDefault="005B1132" w:rsidP="005B11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01070" cy="2743200"/>
            <wp:effectExtent l="0" t="0" r="4445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B1132" w:rsidRPr="00920751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На душу населения произведено сельскохозяйственной продукции на сумму </w:t>
      </w:r>
      <w:r w:rsidRPr="00920751">
        <w:rPr>
          <w:rFonts w:ascii="Times New Roman" w:eastAsia="Calibri" w:hAnsi="Times New Roman" w:cs="Times New Roman"/>
          <w:sz w:val="26"/>
          <w:szCs w:val="26"/>
        </w:rPr>
        <w:t xml:space="preserve">27,7 тыс. рублей, что в 2 раза превысило уровень 2010 года (14,1 тыс. рублей) и на 7% сократилось по сравнению с 2016 годом (29,8 тыс. рублей). 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0751">
        <w:rPr>
          <w:rFonts w:ascii="Times New Roman" w:eastAsia="Calibri" w:hAnsi="Times New Roman" w:cs="Times New Roman"/>
          <w:sz w:val="26"/>
          <w:szCs w:val="26"/>
        </w:rPr>
        <w:t>В 2017</w:t>
      </w: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 году республика в рейтинге по производству продукции сельского хозяйства на душу населения среди регионов РФ занимала </w:t>
      </w:r>
      <w:r w:rsidRPr="00920751">
        <w:rPr>
          <w:rFonts w:ascii="Times New Roman" w:eastAsia="Calibri" w:hAnsi="Times New Roman" w:cs="Times New Roman"/>
          <w:sz w:val="26"/>
          <w:szCs w:val="26"/>
        </w:rPr>
        <w:t>48</w:t>
      </w: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 место, СФО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920751">
        <w:rPr>
          <w:rFonts w:ascii="Times New Roman" w:eastAsia="Calibri" w:hAnsi="Times New Roman" w:cs="Times New Roman"/>
          <w:sz w:val="26"/>
          <w:szCs w:val="26"/>
        </w:rPr>
        <w:t>5</w:t>
      </w: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 место.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Государственная поддержка, оказываемая сельскохозяйственным товаропроизводителям и предприятиям агропромышленного комплекса, из </w:t>
      </w:r>
      <w:r w:rsidRPr="00C8584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бюджетов всех уровней, способствовала достижению неплохих результатов в области сельского хозяйства. 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>В растениеводстве основные меры поддержки были направлены на: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>увеличение объёмов производства и переработки основных видов продукции растениеводства с целью сохранения и рационального использования земель сельскохозяйственного назначения на территории республики путем внедрения инновационных и ресурсосберегающих технологий с использованием семян высших репродукций;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>профилактику массового размножения и распространения особо опасных вредителей и болезней сельскохозяйственных культур и борьбу с ними;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создание условий для формирования и устойчивого развития производства продукции растениеводства в защищенном грунте и картофеля. 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Площадь земель сельскохозяйственного назначения 1311,7 тыс. га, из них площадь сельскохозяйственных угодий – 1156,8 тыс. га, в том числе пашни – </w:t>
      </w:r>
      <w:r w:rsidRPr="00C8584F">
        <w:rPr>
          <w:rFonts w:ascii="Times New Roman" w:eastAsia="Calibri" w:hAnsi="Times New Roman" w:cs="Times New Roman"/>
          <w:sz w:val="26"/>
          <w:szCs w:val="26"/>
        </w:rPr>
        <w:br/>
        <w:t>492,0 тыс. га. Доля обрабатываемой пашни на протяжении последних лет сохраняется на уровне 57% или 296 тыс. га. Размер посевных площадей сельскохозяйственных культур увеличился в 2017 году относительно 2010 года на 6,5%, при этом снизился к 2016 году на 2,0%, что составляет 0,3% от всех посевных площадей РФ и 1,6% − от СФО.</w:t>
      </w:r>
    </w:p>
    <w:p w:rsidR="005B1132" w:rsidRPr="00C8584F" w:rsidRDefault="005B1132" w:rsidP="005B11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8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структуре производства продукции сельского хозяйства по категориям хозяйств за период 2011–201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8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произошли значительные изменения, так доля произведенной продукции сельскохозяйственными организациями снизилась </w:t>
      </w:r>
      <w:r w:rsidRPr="00C858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почти </w:t>
      </w:r>
      <w:r w:rsidRPr="00C8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8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раза и составила </w:t>
      </w:r>
      <w:r w:rsidRPr="00920751">
        <w:rPr>
          <w:rFonts w:ascii="Times New Roman" w:eastAsia="Times New Roman" w:hAnsi="Times New Roman" w:cs="Times New Roman"/>
          <w:sz w:val="26"/>
          <w:szCs w:val="26"/>
          <w:lang w:eastAsia="ru-RU"/>
        </w:rPr>
        <w:t>15,7% в 2017 году, напротив, увеличилась доля продукции, произведенной КФХ на 7,4 п.п. (17,9%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ЛПХ – </w:t>
      </w:r>
      <w:r w:rsidRPr="009207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7,3 п.п. (66,3%).</w:t>
      </w:r>
    </w:p>
    <w:p w:rsidR="005B1132" w:rsidRPr="00C8584F" w:rsidRDefault="005B1132" w:rsidP="005B11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132" w:rsidRDefault="005B1132" w:rsidP="005B11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3600" cy="2913321"/>
            <wp:effectExtent l="0" t="0" r="0" b="190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1132" w:rsidRPr="00C8584F" w:rsidRDefault="005B1132" w:rsidP="005B11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84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производителями зерновых и зернобобовых культур в республике являлись сельскохозяйственные организации и КФХ, на их долю в 2016 году приходилось 59,2% и 40,8% произведенного зерна. Картофель и овощи выращивались в основном в хозяйствах населения, в 2016 году доля произведенной продукции в ЛПХ составила 94,4% и 82,8% соответственно.</w:t>
      </w:r>
    </w:p>
    <w:p w:rsidR="005B1132" w:rsidRPr="00C8584F" w:rsidRDefault="005B1132" w:rsidP="005B11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7 лет валовой сбор зерновых и зернобобовых культур в хозяйствах всех категорий снизился на 15,5%, в связи со сложившимися в отдельные годы неблагоприятными погодными условиями. </w:t>
      </w:r>
    </w:p>
    <w:p w:rsidR="005B1132" w:rsidRPr="00C8584F" w:rsidRDefault="007316B5" w:rsidP="005B1132">
      <w:pPr>
        <w:widowControl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pict>
          <v:rect id="Прямоугольник 6" o:spid="_x0000_s1026" style="position:absolute;left:0;text-align:left;margin-left:45.45pt;margin-top:24.65pt;width:235.5pt;height:39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" filled="f" strokecolor="window" strokeweight="2pt">
            <v:textbox>
              <w:txbxContent>
                <w:p w:rsidR="005B1132" w:rsidRPr="00D0679B" w:rsidRDefault="005B1132" w:rsidP="005B11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679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Динамика производства продукции растениеводства (тыс. тонн)</w:t>
                  </w:r>
                </w:p>
              </w:txbxContent>
            </v:textbox>
          </v:rect>
        </w:pict>
      </w:r>
      <w:r w:rsidR="005B1132" w:rsidRPr="00C8584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342265</wp:posOffset>
            </wp:positionV>
            <wp:extent cx="3895725" cy="2095500"/>
            <wp:effectExtent l="0" t="0" r="0" b="0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5B1132" w:rsidRPr="00C8584F">
        <w:rPr>
          <w:rFonts w:ascii="Times New Roman" w:eastAsia="Calibri" w:hAnsi="Times New Roman" w:cs="Times New Roman"/>
          <w:sz w:val="26"/>
          <w:szCs w:val="26"/>
        </w:rPr>
        <w:t xml:space="preserve">Увеличилось производство картофеля и овощей закрытого и защищенного грунта как по сравнению с 2010 годом на 5,6% и 2,7% соответственно, так и с 2016 годом – на 6,3% и 4,7%. </w:t>
      </w:r>
    </w:p>
    <w:p w:rsidR="005B1132" w:rsidRPr="00C8584F" w:rsidRDefault="005B1132" w:rsidP="005B11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8584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период 2011−2017 годов рекордные показатели валового сбора продуктов растениеводства зафиксированы в 2011 </w:t>
      </w:r>
      <w:r w:rsidRPr="00C8584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br/>
        <w:t>году − зерновых культур, в 2012 году – овощей, в 2014 году − картофеля.</w:t>
      </w:r>
    </w:p>
    <w:p w:rsidR="005B1132" w:rsidRPr="00C8584F" w:rsidRDefault="005B1132" w:rsidP="005B113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84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Главными направлениями животноводства в Республике Хакасия являются мясное и молочное животноводство, овцеводство и козоводство, табунное мясное и спортивное коневодство.</w:t>
      </w:r>
    </w:p>
    <w:p w:rsidR="005B1132" w:rsidRPr="00C8584F" w:rsidRDefault="005B1132" w:rsidP="005B113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58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Меры государственной поддержки были направлены на улучшение состояния отрасли животноводства и повышения конкурентоспособности продукции с целью развития </w:t>
      </w:r>
      <w:r w:rsidRPr="00C8584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племенного животноводства, молочного скотоводства, мясного скотоводства, овцеводства и козоводства.</w:t>
      </w:r>
    </w:p>
    <w:p w:rsidR="005B1132" w:rsidRPr="006A3A3F" w:rsidRDefault="005B1132" w:rsidP="005B113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A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Основное поголовье крупного рогатого скота, а также свиней, выращивалось в личных хозяйствах населения, в 2016 году на их долю приходилось 52,3% и 79,2% от поголовья в хозяйствах всех категорий. Разведением овец и коз по большей части занимались КФХ, на их долю приходилось 55,5%. </w:t>
      </w:r>
    </w:p>
    <w:p w:rsidR="005B1132" w:rsidRPr="006A3A3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A3F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3324225" cy="2743200"/>
            <wp:effectExtent l="0" t="0" r="0" b="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6A3A3F">
        <w:rPr>
          <w:rFonts w:ascii="Times New Roman" w:eastAsia="Calibri" w:hAnsi="Times New Roman" w:cs="Times New Roman"/>
          <w:sz w:val="26"/>
          <w:szCs w:val="26"/>
        </w:rPr>
        <w:t>За семилетний период в Хакасии поголовье крупного рогатого скота возросло на 3,8%. Доля поголовья в 2016 году в общем поголовье РФ составила 0,9% и среди регионов РФ Хакасия заняла 39 место, среди субъектов СФО – 4,6% и 9 место соответственно.</w:t>
      </w:r>
    </w:p>
    <w:p w:rsidR="005B1132" w:rsidRPr="006A3A3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A3F">
        <w:rPr>
          <w:rFonts w:ascii="Times New Roman" w:eastAsia="Calibri" w:hAnsi="Times New Roman" w:cs="Times New Roman"/>
          <w:sz w:val="26"/>
          <w:szCs w:val="26"/>
        </w:rPr>
        <w:t>Овцеводство и козоводство характеризовалось устойчивым ростом поголовья овец и коз на протяжении семи лет. Так, в 2017 году по сравнению с 2010 годом  поголовье овец и коз увеличилось на 86,9%. Доля поголовья в 2016 году в общем поголовье РФ составила 1,3% и среди регионов РФ республика заняла 16 место, в СФО – 8,7% и 4 место.</w:t>
      </w:r>
    </w:p>
    <w:p w:rsidR="005B1132" w:rsidRPr="00C8584F" w:rsidRDefault="005B1132" w:rsidP="005B11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A3F">
        <w:rPr>
          <w:rFonts w:ascii="Times New Roman" w:eastAsia="Calibri" w:hAnsi="Times New Roman" w:cs="Times New Roman"/>
          <w:sz w:val="26"/>
          <w:szCs w:val="26"/>
        </w:rPr>
        <w:t>За 2011–2017 годы поголовье свиней снизилось на 24,8%, в 2016 году его доля в общероссийском поголовье составила 0,2%, среди регионов РФ республика была на 58 позиции, в СФО – 1,6% и 10 место соответственно.</w:t>
      </w:r>
    </w:p>
    <w:p w:rsidR="005B1132" w:rsidRPr="00C8584F" w:rsidRDefault="005B1132" w:rsidP="005B11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1132" w:rsidRPr="00C8584F" w:rsidRDefault="005B1132" w:rsidP="005B11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829300" cy="242887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1132" w:rsidRPr="006A3A3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A3F">
        <w:rPr>
          <w:rFonts w:ascii="Times New Roman" w:eastAsia="Calibri" w:hAnsi="Times New Roman" w:cs="Times New Roman"/>
          <w:sz w:val="26"/>
          <w:szCs w:val="26"/>
        </w:rPr>
        <w:t xml:space="preserve">Объём </w:t>
      </w:r>
      <w:r w:rsidRPr="006A3A3F">
        <w:rPr>
          <w:rFonts w:ascii="Times New Roman" w:eastAsia="Calibri" w:hAnsi="Times New Roman" w:cs="Times New Roman"/>
          <w:bCs/>
          <w:sz w:val="26"/>
          <w:szCs w:val="26"/>
        </w:rPr>
        <w:t>производства мяса всех видов (в живом весе) в Хакасии</w:t>
      </w:r>
      <w:r w:rsidRPr="006A3A3F">
        <w:rPr>
          <w:rFonts w:ascii="Times New Roman" w:eastAsia="Calibri" w:hAnsi="Times New Roman" w:cs="Times New Roman"/>
          <w:sz w:val="26"/>
          <w:szCs w:val="26"/>
        </w:rPr>
        <w:t xml:space="preserve"> составил </w:t>
      </w:r>
      <w:r w:rsidRPr="006A3A3F">
        <w:rPr>
          <w:rFonts w:ascii="Times New Roman" w:eastAsia="Calibri" w:hAnsi="Times New Roman" w:cs="Times New Roman"/>
          <w:sz w:val="26"/>
          <w:szCs w:val="26"/>
        </w:rPr>
        <w:br/>
        <w:t xml:space="preserve">39,5 тыс. тонн, из которых на говядину пришлось 56,8%, на свинину – 21,0%, на баранину и козлятину – 13,6%, на мясо птицы − 3,0%, на другие виды мяса – 5,6%. </w:t>
      </w:r>
      <w:r w:rsidRPr="006A3A3F">
        <w:rPr>
          <w:rFonts w:ascii="Times New Roman" w:eastAsia="Calibri" w:hAnsi="Times New Roman" w:cs="Times New Roman"/>
          <w:sz w:val="26"/>
          <w:szCs w:val="26"/>
        </w:rPr>
        <w:br/>
        <w:t>В республике производство мяса птицы за семь лет сократилось более чем в 8 раз в результате банкротства крупного производителя ОАО «Птицефабрика «Сибирская губерния».</w:t>
      </w:r>
    </w:p>
    <w:p w:rsidR="005B1132" w:rsidRPr="006A3A3F" w:rsidRDefault="005B1132" w:rsidP="005B1132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3A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 2017 год в хозяйствах всех категорий объём молока сложился на уровне 163,2 тыс. тонн, за период 2011–2017 годов зафиксировано снижение объемов производства на 10,4% к уровню 2016 года, производство молока сократилось – на 1,6%. </w:t>
      </w:r>
    </w:p>
    <w:p w:rsidR="005B1132" w:rsidRPr="006A3A3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A3F">
        <w:rPr>
          <w:rFonts w:ascii="Times New Roman" w:eastAsia="Calibri" w:hAnsi="Times New Roman" w:cs="Times New Roman"/>
          <w:bCs/>
          <w:sz w:val="26"/>
          <w:szCs w:val="26"/>
        </w:rPr>
        <w:t>В 2017 году в ООО «Целинное» ввели в эксплуатацию современный молочный животноводческий комплекс на 1100 скотомест. Данный комплекс позволит улучшить условия труда, условия содержания животных, качество выпускаемой продукции и снизить её себестоимость</w:t>
      </w:r>
      <w:r w:rsidRPr="006A3A3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B1132" w:rsidRPr="006A3A3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A3F">
        <w:rPr>
          <w:rFonts w:ascii="Times New Roman" w:eastAsia="Calibri" w:hAnsi="Times New Roman" w:cs="Times New Roman"/>
          <w:sz w:val="26"/>
          <w:szCs w:val="26"/>
        </w:rPr>
        <w:t xml:space="preserve">Производство яиц в хозяйствах всех категорий в 2017 году достигло </w:t>
      </w:r>
      <w:proofErr w:type="gramStart"/>
      <w:r w:rsidRPr="006A3A3F">
        <w:rPr>
          <w:rFonts w:ascii="Times New Roman" w:eastAsia="Calibri" w:hAnsi="Times New Roman" w:cs="Times New Roman"/>
          <w:sz w:val="26"/>
          <w:szCs w:val="26"/>
        </w:rPr>
        <w:t>уровня  87</w:t>
      </w:r>
      <w:proofErr w:type="gramEnd"/>
      <w:r w:rsidRPr="006A3A3F">
        <w:rPr>
          <w:rFonts w:ascii="Times New Roman" w:eastAsia="Calibri" w:hAnsi="Times New Roman" w:cs="Times New Roman"/>
          <w:sz w:val="26"/>
          <w:szCs w:val="26"/>
        </w:rPr>
        <w:t xml:space="preserve">,7 млн штук и по сравнению с 2010 годом снизилось на 13,4%, в связи с сокращением их производства в сельскохозяйственных организациях. 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A3F">
        <w:rPr>
          <w:rFonts w:ascii="Times New Roman" w:eastAsia="Calibri" w:hAnsi="Times New Roman" w:cs="Times New Roman"/>
          <w:sz w:val="26"/>
          <w:szCs w:val="26"/>
        </w:rPr>
        <w:t>К проблемам развития сельского хозяйства можно отнести: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>зависимость производства продукции растениеводства от природно-климатических условий региона;</w:t>
      </w:r>
    </w:p>
    <w:p w:rsidR="005B1132" w:rsidRPr="00C8584F" w:rsidRDefault="005B1132" w:rsidP="005B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>низкие темпы обновления основных производственных фондов, износ которых составляет до 85%;</w:t>
      </w:r>
    </w:p>
    <w:p w:rsidR="005B1132" w:rsidRPr="00C8584F" w:rsidRDefault="005B1132" w:rsidP="005B1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11E1E"/>
          <w:sz w:val="26"/>
          <w:szCs w:val="26"/>
        </w:rPr>
      </w:pPr>
      <w:r w:rsidRPr="00C8584F">
        <w:rPr>
          <w:rFonts w:ascii="Times New Roman" w:eastAsia="Calibri" w:hAnsi="Times New Roman" w:cs="Times New Roman"/>
          <w:color w:val="211E1E"/>
          <w:sz w:val="26"/>
          <w:szCs w:val="26"/>
        </w:rPr>
        <w:t xml:space="preserve">недостаточный уровень развития сбытовой системы; </w:t>
      </w:r>
    </w:p>
    <w:p w:rsidR="005B1132" w:rsidRPr="00C8584F" w:rsidRDefault="005B1132" w:rsidP="005B1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11E1E"/>
          <w:sz w:val="26"/>
          <w:szCs w:val="26"/>
        </w:rPr>
      </w:pPr>
      <w:r w:rsidRPr="00C8584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низкий уровень консолидации производителей; </w:t>
      </w:r>
    </w:p>
    <w:p w:rsidR="005B1132" w:rsidRPr="00C8584F" w:rsidRDefault="005B1132" w:rsidP="005B1132">
      <w:pPr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низкая доля производства глубокой переработки продукции сельского хозяйства; </w:t>
      </w:r>
    </w:p>
    <w:p w:rsidR="005B1132" w:rsidRPr="00C8584F" w:rsidRDefault="005B1132" w:rsidP="005B1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11E1E"/>
          <w:sz w:val="26"/>
          <w:szCs w:val="26"/>
        </w:rPr>
      </w:pPr>
      <w:r w:rsidRPr="00C8584F">
        <w:rPr>
          <w:rFonts w:ascii="Times New Roman" w:eastAsia="Calibri" w:hAnsi="Times New Roman" w:cs="Times New Roman"/>
          <w:color w:val="211E1E"/>
          <w:sz w:val="26"/>
          <w:szCs w:val="26"/>
        </w:rPr>
        <w:t xml:space="preserve">высокий уровень конкуренции с сельхозпроизводителями Сибири (в первую очередь с Алтайским и Красноярским краями), зарубежными производителями; </w:t>
      </w:r>
    </w:p>
    <w:p w:rsidR="005B1132" w:rsidRPr="00C8584F" w:rsidRDefault="005B1132" w:rsidP="005B11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>отток квалифицированных кадров в город из-за низкого уровня жизни на селе;</w:t>
      </w:r>
    </w:p>
    <w:p w:rsidR="005B1132" w:rsidRPr="00C8584F" w:rsidRDefault="005B1132" w:rsidP="005B113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84F">
        <w:rPr>
          <w:rFonts w:ascii="Times New Roman" w:eastAsia="Calibri" w:hAnsi="Times New Roman" w:cs="Times New Roman"/>
          <w:sz w:val="26"/>
          <w:szCs w:val="26"/>
        </w:rPr>
        <w:t xml:space="preserve">высокие инвестиционные риски. </w:t>
      </w:r>
    </w:p>
    <w:p w:rsidR="00591C82" w:rsidRDefault="00591C82"/>
    <w:sectPr w:rsidR="00591C82" w:rsidSect="00A6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132"/>
    <w:rsid w:val="00325BFE"/>
    <w:rsid w:val="00591C82"/>
    <w:rsid w:val="005B1132"/>
    <w:rsid w:val="007316B5"/>
    <w:rsid w:val="00A676DB"/>
    <w:rsid w:val="00B33482"/>
    <w:rsid w:val="00D6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CE5C43-A829-455E-8E11-0312F926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132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5B1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1132"/>
    <w:rPr>
      <w:rFonts w:asciiTheme="majorHAnsi" w:eastAsiaTheme="majorEastAsia" w:hAnsiTheme="majorHAnsi" w:cstheme="majorBidi"/>
      <w:b/>
      <w:bCs/>
      <w:i/>
      <w:color w:val="000000" w:themeColor="text1"/>
      <w:sz w:val="26"/>
    </w:rPr>
  </w:style>
  <w:style w:type="paragraph" w:customStyle="1" w:styleId="ConsPlusNormal">
    <w:name w:val="ConsPlusNormal"/>
    <w:link w:val="ConsPlusNormal0"/>
    <w:rsid w:val="005B1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1132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5B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5;&#1074;&#1076;&#1086;&#1082;&#1080;&#1084;&#1086;&#1074;%20&#1053;&#1080;&#1082;&#1086;&#1083;&#1072;&#1081;\Desktop\&#1086;&#1089;&#1085;&#1086;&#1074;&#1085;&#1099;&#1077;%20&#1087;&#1086;&#1082;&#1072;&#1079;&#1072;&#1090;&#1077;&#1083;&#1080;%20&#1057;&#1069;&#1056;%20&#1056;&#1060;%20&#1079;&#1072;%202017%20&#1075;&#1086;&#1076;%20&#1087;&#1086;%20&#1088;&#1077;&#1075;&#1080;&#1086;&#1085;&#1072;&#1084;\&#1075;&#1088;&#1072;&#1092;&#1080;&#1082;&#1080;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4;&#1086;&#1082;&#1091;&#1084;&#1077;&#1085;&#1090;&#1099;\&#1075;&#1088;&#1072;&#1092;&#1080;&#1082;&#1080;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Продукция сельского хозяйства в хозяйствах всех категорий</a:t>
            </a:r>
          </a:p>
          <a:p>
            <a:pPr>
              <a:defRPr/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(в фактически действовавших ценах, млн рублей)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6102181468784456E-2"/>
          <c:y val="0.19856481481481483"/>
          <c:w val="0.89022414579050901"/>
          <c:h val="0.52338108778069381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Лист1!$A$328</c:f>
              <c:strCache>
                <c:ptCount val="1"/>
                <c:pt idx="0">
                  <c:v>Продукция растениеводства</c:v>
                </c:pt>
              </c:strCache>
            </c:strRef>
          </c:tx>
          <c:invertIfNegative val="0"/>
          <c:cat>
            <c:numRef>
              <c:f>Лист1!$B$326:$H$326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Лист1!$B$328:$H$328</c:f>
              <c:numCache>
                <c:formatCode>General</c:formatCode>
                <c:ptCount val="7"/>
                <c:pt idx="0">
                  <c:v>3216.3</c:v>
                </c:pt>
                <c:pt idx="1">
                  <c:v>3253.3</c:v>
                </c:pt>
                <c:pt idx="2">
                  <c:v>3555.9</c:v>
                </c:pt>
                <c:pt idx="3">
                  <c:v>3770.2</c:v>
                </c:pt>
                <c:pt idx="4">
                  <c:v>4009.7</c:v>
                </c:pt>
                <c:pt idx="5">
                  <c:v>5055.3</c:v>
                </c:pt>
                <c:pt idx="6">
                  <c:v>3445.3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70-48A7-836A-D35A20ABAB30}"/>
            </c:ext>
          </c:extLst>
        </c:ser>
        <c:ser>
          <c:idx val="2"/>
          <c:order val="2"/>
          <c:tx>
            <c:strRef>
              <c:f>Лист1!$A$329</c:f>
              <c:strCache>
                <c:ptCount val="1"/>
                <c:pt idx="0">
                  <c:v>Продукция животноводства</c:v>
                </c:pt>
              </c:strCache>
            </c:strRef>
          </c:tx>
          <c:invertIfNegative val="0"/>
          <c:cat>
            <c:numRef>
              <c:f>Лист1!$B$326:$H$326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Лист1!$B$329:$H$329</c:f>
              <c:numCache>
                <c:formatCode>General</c:formatCode>
                <c:ptCount val="7"/>
                <c:pt idx="0">
                  <c:v>6155.2</c:v>
                </c:pt>
                <c:pt idx="1">
                  <c:v>6812.1</c:v>
                </c:pt>
                <c:pt idx="2">
                  <c:v>7708.5</c:v>
                </c:pt>
                <c:pt idx="3">
                  <c:v>9006.5</c:v>
                </c:pt>
                <c:pt idx="4">
                  <c:v>10050.299999999996</c:v>
                </c:pt>
                <c:pt idx="5">
                  <c:v>10996</c:v>
                </c:pt>
                <c:pt idx="6">
                  <c:v>11423.4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70-48A7-836A-D35A20ABAB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9158496"/>
        <c:axId val="409158888"/>
      </c:barChart>
      <c:lineChart>
        <c:grouping val="standard"/>
        <c:varyColors val="0"/>
        <c:ser>
          <c:idx val="0"/>
          <c:order val="0"/>
          <c:tx>
            <c:strRef>
              <c:f>Лист1!$A$327</c:f>
              <c:strCache>
                <c:ptCount val="1"/>
                <c:pt idx="0">
                  <c:v>Продукция сельского хозяйства  </c:v>
                </c:pt>
              </c:strCache>
            </c:strRef>
          </c:tx>
          <c:spPr>
            <a:ln>
              <a:solidFill>
                <a:schemeClr val="accent4"/>
              </a:solidFill>
            </a:ln>
          </c:spPr>
          <c:marker>
            <c:spPr>
              <a:solidFill>
                <a:schemeClr val="accent4">
                  <a:lumMod val="75000"/>
                </a:schemeClr>
              </a:solidFill>
              <a:ln>
                <a:solidFill>
                  <a:schemeClr val="accent4"/>
                </a:solidFill>
              </a:ln>
            </c:spPr>
          </c:marker>
          <c:cat>
            <c:numRef>
              <c:f>Лист1!$B$326:$H$326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Лист1!$B$327:$H$327</c:f>
              <c:numCache>
                <c:formatCode>General</c:formatCode>
                <c:ptCount val="7"/>
                <c:pt idx="0">
                  <c:v>9371.5</c:v>
                </c:pt>
                <c:pt idx="1">
                  <c:v>10065.4</c:v>
                </c:pt>
                <c:pt idx="2">
                  <c:v>11264.4</c:v>
                </c:pt>
                <c:pt idx="3">
                  <c:v>12776.7</c:v>
                </c:pt>
                <c:pt idx="4">
                  <c:v>14060.1</c:v>
                </c:pt>
                <c:pt idx="5">
                  <c:v>16051.3</c:v>
                </c:pt>
                <c:pt idx="6">
                  <c:v>14868.7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370-48A7-836A-D35A20ABAB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9158496"/>
        <c:axId val="409158888"/>
      </c:lineChart>
      <c:catAx>
        <c:axId val="40915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09158888"/>
        <c:crosses val="autoZero"/>
        <c:auto val="1"/>
        <c:lblAlgn val="ctr"/>
        <c:lblOffset val="100"/>
        <c:noMultiLvlLbl val="0"/>
      </c:catAx>
      <c:valAx>
        <c:axId val="409158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091584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451819754722464"/>
          <c:y val="0.82209098862642171"/>
          <c:w val="0.77337601485832241"/>
          <c:h val="0.15013123359580063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spcBef>
                <a:spcPts val="0"/>
              </a:spcBef>
              <a:spcAft>
                <a:spcPts val="0"/>
              </a:spcAft>
              <a:defRPr/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продукции сельского хозяйства по категориям хозяйств в 2010</a:t>
            </a: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−</a:t>
            </a: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2017 годах  (в %)</a:t>
            </a:r>
          </a:p>
        </c:rich>
      </c:tx>
      <c:layout>
        <c:manualLayout>
          <c:xMode val="edge"/>
          <c:yMode val="edge"/>
          <c:x val="0.12910794804495587"/>
          <c:y val="2.616088947024198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203058752271351"/>
          <c:y val="0.22579071758449801"/>
          <c:w val="0.31440591560670311"/>
          <c:h val="0.56333066042854929"/>
        </c:manualLayout>
      </c:layout>
      <c:doughnutChart>
        <c:varyColors val="1"/>
        <c:ser>
          <c:idx val="0"/>
          <c:order val="0"/>
          <c:tx>
            <c:strRef>
              <c:f>Лист1!$B$446</c:f>
              <c:strCache>
                <c:ptCount val="1"/>
                <c:pt idx="0">
                  <c:v>2010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59,0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3F0-4654-B677-726396852CD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Лист1!$A$447:$A$449</c:f>
              <c:strCache>
                <c:ptCount val="3"/>
                <c:pt idx="0">
                  <c:v>сельскохозяйственные организации</c:v>
                </c:pt>
                <c:pt idx="1">
                  <c:v>хозяйства населения</c:v>
                </c:pt>
                <c:pt idx="2">
                  <c:v>крестьянские  (фермерские) хозяйства</c:v>
                </c:pt>
              </c:strCache>
            </c:strRef>
          </c:cat>
          <c:val>
            <c:numRef>
              <c:f>Лист1!$B$447:$B$449</c:f>
              <c:numCache>
                <c:formatCode>General</c:formatCode>
                <c:ptCount val="3"/>
                <c:pt idx="0">
                  <c:v>30.5</c:v>
                </c:pt>
                <c:pt idx="1">
                  <c:v>59</c:v>
                </c:pt>
                <c:pt idx="2">
                  <c:v>10.5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F0-4654-B677-726396852CD7}"/>
            </c:ext>
          </c:extLst>
        </c:ser>
        <c:ser>
          <c:idx val="1"/>
          <c:order val="1"/>
          <c:tx>
            <c:strRef>
              <c:f>Лист1!$C$446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Лист1!$A$447:$A$449</c:f>
              <c:strCache>
                <c:ptCount val="3"/>
                <c:pt idx="0">
                  <c:v>сельскохозяйственные организации</c:v>
                </c:pt>
                <c:pt idx="1">
                  <c:v>хозяйства населения</c:v>
                </c:pt>
                <c:pt idx="2">
                  <c:v>крестьянские  (фермерские) хозяйства</c:v>
                </c:pt>
              </c:strCache>
            </c:strRef>
          </c:cat>
          <c:val>
            <c:numRef>
              <c:f>Лист1!$C$447:$C$449</c:f>
              <c:numCache>
                <c:formatCode>General</c:formatCode>
                <c:ptCount val="3"/>
                <c:pt idx="0">
                  <c:v>15.7</c:v>
                </c:pt>
                <c:pt idx="1">
                  <c:v>66.3</c:v>
                </c:pt>
                <c:pt idx="2">
                  <c:v>17.899999999999999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F0-4654-B677-726396852C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4077461471162289"/>
          <c:y val="0.27051916653603586"/>
          <c:w val="0.28871256477555701"/>
          <c:h val="0.3207582660659478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14892489400364"/>
          <c:y val="0.13435089844538664"/>
          <c:w val="0.83287527760953006"/>
          <c:h val="0.53636817664998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Зерно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173.9</c:v>
                </c:pt>
                <c:pt idx="1">
                  <c:v>137.5</c:v>
                </c:pt>
                <c:pt idx="2">
                  <c:v>130.6</c:v>
                </c:pt>
                <c:pt idx="3">
                  <c:v>162.9</c:v>
                </c:pt>
                <c:pt idx="4">
                  <c:v>115.6</c:v>
                </c:pt>
                <c:pt idx="5">
                  <c:v>121.9</c:v>
                </c:pt>
                <c:pt idx="6">
                  <c:v>108.9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9F-401F-B0C9-6A3CD61845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Картофель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131.4</c:v>
                </c:pt>
                <c:pt idx="1">
                  <c:v>133.4</c:v>
                </c:pt>
                <c:pt idx="2">
                  <c:v>125.3</c:v>
                </c:pt>
                <c:pt idx="3">
                  <c:v>137.9</c:v>
                </c:pt>
                <c:pt idx="4">
                  <c:v>116.8</c:v>
                </c:pt>
                <c:pt idx="5">
                  <c:v>121.5</c:v>
                </c:pt>
                <c:pt idx="6">
                  <c:v>129.1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9F-401F-B0C9-6A3CD61845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Овощи открытого и закрытого грунта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59.7</c:v>
                </c:pt>
                <c:pt idx="1">
                  <c:v>66.2</c:v>
                </c:pt>
                <c:pt idx="2">
                  <c:v>61.6</c:v>
                </c:pt>
                <c:pt idx="3">
                  <c:v>62.2</c:v>
                </c:pt>
                <c:pt idx="4">
                  <c:v>59.7</c:v>
                </c:pt>
                <c:pt idx="5">
                  <c:v>61.5</c:v>
                </c:pt>
                <c:pt idx="6">
                  <c:v>64.400000000000006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9F-401F-B0C9-6A3CD61845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820312"/>
        <c:axId val="79699752"/>
      </c:barChart>
      <c:catAx>
        <c:axId val="216820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9699752"/>
        <c:crosses val="autoZero"/>
        <c:auto val="1"/>
        <c:lblAlgn val="ctr"/>
        <c:lblOffset val="100"/>
        <c:noMultiLvlLbl val="0"/>
      </c:catAx>
      <c:valAx>
        <c:axId val="796997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6820312"/>
        <c:crosses val="autoZero"/>
        <c:crossBetween val="between"/>
        <c:majorUnit val="50"/>
      </c:valAx>
    </c:plotArea>
    <c:legend>
      <c:legendPos val="b"/>
      <c:layout>
        <c:manualLayout>
          <c:xMode val="edge"/>
          <c:yMode val="edge"/>
          <c:x val="2.2352167219407658E-2"/>
          <c:y val="0.83488432001555368"/>
          <c:w val="0.95529539427726562"/>
          <c:h val="0.12807864294740934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поголовья сельскохозяйственных животных в хозяйствах всех категорий </a:t>
            </a:r>
          </a:p>
          <a:p>
            <a:pPr>
              <a:defRPr/>
            </a:pP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 тыс. голов)</a:t>
            </a:r>
            <a:endParaRPr lang="ru-RU" sz="13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64175860538922"/>
          <c:y val="0.31842592592592617"/>
          <c:w val="0.84333340853883254"/>
          <c:h val="0.466392534266550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Лист1!$A$308</c:f>
              <c:strCache>
                <c:ptCount val="1"/>
                <c:pt idx="0">
                  <c:v>Крупный рогатый скот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numRef>
              <c:f>Лист1!$B$307:$H$307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Лист1!$B$308:$H$308</c:f>
              <c:numCache>
                <c:formatCode>General</c:formatCode>
                <c:ptCount val="7"/>
                <c:pt idx="0">
                  <c:v>171.9</c:v>
                </c:pt>
                <c:pt idx="1">
                  <c:v>176.5</c:v>
                </c:pt>
                <c:pt idx="2">
                  <c:v>177.8</c:v>
                </c:pt>
                <c:pt idx="3">
                  <c:v>179.9</c:v>
                </c:pt>
                <c:pt idx="4">
                  <c:v>184.7</c:v>
                </c:pt>
                <c:pt idx="5">
                  <c:v>184</c:v>
                </c:pt>
                <c:pt idx="6">
                  <c:v>184.7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48-48AF-86A4-BB35B6A47EE3}"/>
            </c:ext>
          </c:extLst>
        </c:ser>
        <c:ser>
          <c:idx val="1"/>
          <c:order val="1"/>
          <c:tx>
            <c:strRef>
              <c:f>Лист1!$A$309</c:f>
              <c:strCache>
                <c:ptCount val="1"/>
                <c:pt idx="0">
                  <c:v>Свиньи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numRef>
              <c:f>Лист1!$B$307:$H$307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Лист1!$B$309:$H$309</c:f>
              <c:numCache>
                <c:formatCode>General</c:formatCode>
                <c:ptCount val="7"/>
                <c:pt idx="0">
                  <c:v>62</c:v>
                </c:pt>
                <c:pt idx="1">
                  <c:v>56.7</c:v>
                </c:pt>
                <c:pt idx="2">
                  <c:v>54.4</c:v>
                </c:pt>
                <c:pt idx="3">
                  <c:v>53.7</c:v>
                </c:pt>
                <c:pt idx="4">
                  <c:v>55.4</c:v>
                </c:pt>
                <c:pt idx="5">
                  <c:v>52</c:v>
                </c:pt>
                <c:pt idx="6">
                  <c:v>50.8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48-48AF-86A4-BB35B6A47EE3}"/>
            </c:ext>
          </c:extLst>
        </c:ser>
        <c:ser>
          <c:idx val="2"/>
          <c:order val="2"/>
          <c:tx>
            <c:strRef>
              <c:f>Лист1!$A$310</c:f>
              <c:strCache>
                <c:ptCount val="1"/>
                <c:pt idx="0">
                  <c:v>Овцы и козы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Лист1!$B$307:$H$307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Лист1!$B$310:$H$310</c:f>
              <c:numCache>
                <c:formatCode>General</c:formatCode>
                <c:ptCount val="7"/>
                <c:pt idx="0">
                  <c:v>197.8</c:v>
                </c:pt>
                <c:pt idx="1">
                  <c:v>226.3</c:v>
                </c:pt>
                <c:pt idx="2">
                  <c:v>244.1</c:v>
                </c:pt>
                <c:pt idx="3">
                  <c:v>276.39999999999986</c:v>
                </c:pt>
                <c:pt idx="4">
                  <c:v>299.5</c:v>
                </c:pt>
                <c:pt idx="5">
                  <c:v>316.60000000000002</c:v>
                </c:pt>
                <c:pt idx="6">
                  <c:v>321.2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148-48AF-86A4-BB35B6A47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700536"/>
        <c:axId val="79700928"/>
      </c:barChart>
      <c:catAx>
        <c:axId val="7970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9700928"/>
        <c:crosses val="autoZero"/>
        <c:auto val="1"/>
        <c:lblAlgn val="ctr"/>
        <c:lblOffset val="100"/>
        <c:noMultiLvlLbl val="0"/>
      </c:catAx>
      <c:valAx>
        <c:axId val="7970092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9700536"/>
        <c:crosses val="autoZero"/>
        <c:crossBetween val="between"/>
      </c:valAx>
      <c:spPr>
        <a:ln>
          <a:noFill/>
        </a:ln>
      </c:spPr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Производство основных видов</a:t>
            </a:r>
            <a:r>
              <a:rPr lang="ru-RU" sz="1300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продукции животноводства</a:t>
            </a:r>
          </a:p>
          <a:p>
            <a:pPr>
              <a:defRPr/>
            </a:pPr>
            <a:r>
              <a:rPr lang="ru-RU" sz="1300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(в хозяйствах всех категорий)</a:t>
            </a:r>
            <a:endParaRPr lang="ru-RU" sz="130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5375774106668033E-2"/>
          <c:y val="0.19579579579579584"/>
          <c:w val="0.86924845178666388"/>
          <c:h val="0.458513158828119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Лист3!$B$169</c:f>
              <c:strCache>
                <c:ptCount val="1"/>
                <c:pt idx="0">
                  <c:v>Скот и птица на убой (в живом весе), тыс. тонн</c:v>
                </c:pt>
              </c:strCache>
            </c:strRef>
          </c:tx>
          <c:invertIfNegative val="0"/>
          <c:cat>
            <c:numRef>
              <c:f>Лист3!$C$168:$I$168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Лист3!$C$169:$I$169</c:f>
              <c:numCache>
                <c:formatCode>General</c:formatCode>
                <c:ptCount val="7"/>
                <c:pt idx="0">
                  <c:v>50.7</c:v>
                </c:pt>
                <c:pt idx="1">
                  <c:v>51.9</c:v>
                </c:pt>
                <c:pt idx="2">
                  <c:v>52.8</c:v>
                </c:pt>
                <c:pt idx="3">
                  <c:v>48.9</c:v>
                </c:pt>
                <c:pt idx="4">
                  <c:v>43.2</c:v>
                </c:pt>
                <c:pt idx="5">
                  <c:v>43.4</c:v>
                </c:pt>
                <c:pt idx="6">
                  <c:v>42.2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46-413E-8181-91CBC5DCB629}"/>
            </c:ext>
          </c:extLst>
        </c:ser>
        <c:ser>
          <c:idx val="1"/>
          <c:order val="1"/>
          <c:tx>
            <c:strRef>
              <c:f>Лист3!$B$170</c:f>
              <c:strCache>
                <c:ptCount val="1"/>
                <c:pt idx="0">
                  <c:v>Молоко, тыс. тонн</c:v>
                </c:pt>
              </c:strCache>
            </c:strRef>
          </c:tx>
          <c:invertIfNegative val="0"/>
          <c:cat>
            <c:numRef>
              <c:f>Лист3!$C$168:$I$168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Лист3!$C$170:$I$170</c:f>
              <c:numCache>
                <c:formatCode>General</c:formatCode>
                <c:ptCount val="7"/>
                <c:pt idx="0">
                  <c:v>189.6</c:v>
                </c:pt>
                <c:pt idx="1">
                  <c:v>192</c:v>
                </c:pt>
                <c:pt idx="2">
                  <c:v>190.3</c:v>
                </c:pt>
                <c:pt idx="3">
                  <c:v>191.3</c:v>
                </c:pt>
                <c:pt idx="4">
                  <c:v>188.4</c:v>
                </c:pt>
                <c:pt idx="5">
                  <c:v>183.2</c:v>
                </c:pt>
                <c:pt idx="6">
                  <c:v>182.1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46-413E-8181-91CBC5DCB6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701712"/>
        <c:axId val="79702104"/>
      </c:barChart>
      <c:lineChart>
        <c:grouping val="standard"/>
        <c:varyColors val="0"/>
        <c:ser>
          <c:idx val="2"/>
          <c:order val="2"/>
          <c:tx>
            <c:strRef>
              <c:f>Лист3!$B$171</c:f>
              <c:strCache>
                <c:ptCount val="1"/>
                <c:pt idx="0">
                  <c:v>Яйцо, млн штук (правая шкала)</c:v>
                </c:pt>
              </c:strCache>
            </c:strRef>
          </c:tx>
          <c:spPr>
            <a:ln w="38100">
              <a:prstDash val="sysDot"/>
            </a:ln>
          </c:spPr>
          <c:marker>
            <c:spPr>
              <a:solidFill>
                <a:schemeClr val="accent6">
                  <a:lumMod val="40000"/>
                  <a:lumOff val="60000"/>
                </a:schemeClr>
              </a:solidFill>
              <a:ln w="38100">
                <a:prstDash val="sysDot"/>
              </a:ln>
            </c:spPr>
          </c:marker>
          <c:cat>
            <c:numRef>
              <c:f>Лист3!$C$168:$I$168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Лист3!$C$171:$I$171</c:f>
              <c:numCache>
                <c:formatCode>General</c:formatCode>
                <c:ptCount val="7"/>
                <c:pt idx="0">
                  <c:v>97.4</c:v>
                </c:pt>
                <c:pt idx="1">
                  <c:v>98.7</c:v>
                </c:pt>
                <c:pt idx="2">
                  <c:v>88.6</c:v>
                </c:pt>
                <c:pt idx="3">
                  <c:v>84.3</c:v>
                </c:pt>
                <c:pt idx="4">
                  <c:v>88.3</c:v>
                </c:pt>
                <c:pt idx="5">
                  <c:v>92.4</c:v>
                </c:pt>
                <c:pt idx="6">
                  <c:v>93.4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946-413E-8181-91CBC5DCB6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702888"/>
        <c:axId val="79702496"/>
      </c:lineChart>
      <c:catAx>
        <c:axId val="79701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9702104"/>
        <c:crosses val="autoZero"/>
        <c:auto val="1"/>
        <c:lblAlgn val="ctr"/>
        <c:lblOffset val="100"/>
        <c:noMultiLvlLbl val="0"/>
      </c:catAx>
      <c:valAx>
        <c:axId val="7970210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9701712"/>
        <c:crosses val="autoZero"/>
        <c:crossBetween val="between"/>
      </c:valAx>
      <c:valAx>
        <c:axId val="7970249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9702888"/>
        <c:crosses val="max"/>
        <c:crossBetween val="between"/>
      </c:valAx>
      <c:catAx>
        <c:axId val="797028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9702496"/>
        <c:crosses val="autoZero"/>
        <c:auto val="1"/>
        <c:lblAlgn val="ctr"/>
        <c:lblOffset val="100"/>
        <c:noMultiLvlLbl val="0"/>
      </c:catAx>
    </c:plotArea>
    <c:legend>
      <c:legendPos val="b"/>
      <c:legendEntry>
        <c:idx val="0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7.0466497031382566E-2"/>
          <c:y val="0.73045002586355534"/>
          <c:w val="0.75728583545377492"/>
          <c:h val="0.24035289384447386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0.07604</cdr:x>
      <cdr:y>0.66667</cdr:y>
    </cdr:from>
    <cdr:to>
      <cdr:x>0.27604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7663" y="2406650"/>
          <a:ext cx="914400" cy="1203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2010</a:t>
          </a:r>
          <a:r>
            <a:rPr lang="ru-RU" sz="1000" baseline="0">
              <a:latin typeface="Times New Roman" panose="02020603050405020304" pitchFamily="18" charset="0"/>
              <a:cs typeface="Times New Roman" panose="02020603050405020304" pitchFamily="18" charset="0"/>
            </a:rPr>
            <a:t> год </a:t>
          </a:r>
          <a:r>
            <a:rPr lang="ru-RU" sz="1000" baseline="0">
              <a:latin typeface="Times New Roman" panose="02020603050405020304" pitchFamily="18" charset="0"/>
              <a:cs typeface="Times New Roman" panose="02020603050405020304" pitchFamily="18" charset="0"/>
              <a:sym typeface="Symbol"/>
            </a:rPr>
            <a:t></a:t>
          </a:r>
          <a:r>
            <a:rPr lang="ru-RU" sz="1000" baseline="0">
              <a:latin typeface="Times New Roman" panose="02020603050405020304" pitchFamily="18" charset="0"/>
              <a:cs typeface="Times New Roman" panose="02020603050405020304" pitchFamily="18" charset="0"/>
            </a:rPr>
            <a:t> внутреннее кольцо, 2017 год </a:t>
          </a:r>
          <a:r>
            <a:rPr lang="ru-RU" sz="1000" baseline="0">
              <a:latin typeface="Times New Roman" panose="02020603050405020304" pitchFamily="18" charset="0"/>
              <a:cs typeface="Times New Roman" panose="02020603050405020304" pitchFamily="18" charset="0"/>
              <a:sym typeface="Symbol"/>
            </a:rPr>
            <a:t></a:t>
          </a:r>
          <a:r>
            <a:rPr lang="ru-RU" sz="1000" baseline="0">
              <a:latin typeface="Times New Roman" panose="02020603050405020304" pitchFamily="18" charset="0"/>
              <a:cs typeface="Times New Roman" panose="02020603050405020304" pitchFamily="18" charset="0"/>
            </a:rPr>
            <a:t> внешнее кольцо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1447</Words>
  <Characters>8250</Characters>
  <Application>Microsoft Office Word</Application>
  <DocSecurity>0</DocSecurity>
  <Lines>68</Lines>
  <Paragraphs>19</Paragraphs>
  <ScaleCrop>false</ScaleCrop>
  <Company>diakov.net</Company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</cp:lastModifiedBy>
  <cp:revision>5</cp:revision>
  <cp:lastPrinted>2019-04-23T17:08:00Z</cp:lastPrinted>
  <dcterms:created xsi:type="dcterms:W3CDTF">2019-04-23T16:52:00Z</dcterms:created>
  <dcterms:modified xsi:type="dcterms:W3CDTF">2020-04-27T17:37:00Z</dcterms:modified>
</cp:coreProperties>
</file>