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9" w:rsidRPr="008A7439" w:rsidRDefault="00676C61" w:rsidP="008A743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СТРОЕНИЕ ДЕРЕВЬЕВ СОСНЫ ПО ДИАМЕТУ</w:t>
      </w:r>
    </w:p>
    <w:p w:rsidR="008A7439" w:rsidRPr="008A7439" w:rsidRDefault="00B83999" w:rsidP="008A7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Каштальянов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7439" w:rsidRPr="008A7439">
        <w:rPr>
          <w:rFonts w:ascii="Times New Roman" w:hAnsi="Times New Roman" w:cs="Times New Roman"/>
          <w:sz w:val="28"/>
          <w:szCs w:val="28"/>
        </w:rPr>
        <w:t>.А., студент-магистрант 2 курса</w:t>
      </w:r>
    </w:p>
    <w:p w:rsidR="008A7439" w:rsidRPr="008A7439" w:rsidRDefault="008A7439" w:rsidP="008A7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439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8A7439" w:rsidRPr="008A7439" w:rsidRDefault="008A7439" w:rsidP="008A74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439"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 w:rsidRPr="008A7439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8A7439" w:rsidRPr="008A7439" w:rsidRDefault="008A7439" w:rsidP="008A7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39" w:rsidRDefault="008A7439" w:rsidP="008A7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7130D" w:rsidRPr="008A7439" w:rsidRDefault="0007130D" w:rsidP="008A7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39" w:rsidRPr="008A7439" w:rsidRDefault="008A7439" w:rsidP="008A7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0D">
        <w:rPr>
          <w:rFonts w:ascii="Times New Roman" w:hAnsi="Times New Roman" w:cs="Times New Roman"/>
          <w:sz w:val="28"/>
          <w:szCs w:val="28"/>
        </w:rPr>
        <w:t xml:space="preserve">В статье представлены этапы использования  </w:t>
      </w:r>
      <w:r w:rsidR="00676C61">
        <w:rPr>
          <w:rFonts w:ascii="Times New Roman" w:hAnsi="Times New Roman" w:cs="Times New Roman"/>
          <w:sz w:val="28"/>
          <w:szCs w:val="28"/>
        </w:rPr>
        <w:t xml:space="preserve">различных функций </w:t>
      </w:r>
      <w:r w:rsidR="0007130D">
        <w:rPr>
          <w:rFonts w:ascii="Times New Roman" w:hAnsi="Times New Roman" w:cs="Times New Roman"/>
          <w:sz w:val="28"/>
          <w:szCs w:val="28"/>
        </w:rPr>
        <w:t xml:space="preserve">(нормального распределения, распределение Максвелла, распределение Рэлея, показательное распределения) </w:t>
      </w:r>
      <w:r w:rsidR="00676C61">
        <w:rPr>
          <w:rFonts w:ascii="Times New Roman" w:hAnsi="Times New Roman" w:cs="Times New Roman"/>
          <w:sz w:val="28"/>
          <w:szCs w:val="28"/>
        </w:rPr>
        <w:t>для аппроксимации рядов распределения по диаметру.</w:t>
      </w:r>
      <w:r w:rsidR="0007130D">
        <w:rPr>
          <w:rFonts w:ascii="Times New Roman" w:hAnsi="Times New Roman" w:cs="Times New Roman"/>
          <w:sz w:val="28"/>
          <w:szCs w:val="28"/>
        </w:rPr>
        <w:t xml:space="preserve"> Исходные ряды в большей степени соответствуют кривой нормального распределения.</w:t>
      </w:r>
    </w:p>
    <w:p w:rsidR="008A7439" w:rsidRDefault="008A7439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A7439" w:rsidRDefault="008A7439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b/>
          <w:color w:val="000000" w:themeColor="text1"/>
          <w:sz w:val="28"/>
        </w:rPr>
        <w:t>Построение рядов нормального распределения</w:t>
      </w:r>
    </w:p>
    <w:p w:rsidR="00493695" w:rsidRPr="00493695" w:rsidRDefault="00493695" w:rsidP="00B8399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Проверка на соответствие исходного вариационного ряда нормальному распределению позволяет применить статистический аппарат для интерпретации статистических выводов. Сопоставляются эмпирические частоты теоретическому распределению.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B83999" w:rsidP="00B8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Таблица 1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 xml:space="preserve"> – Нормальное распределение первого ряда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1364"/>
        <w:gridCol w:w="1927"/>
        <w:gridCol w:w="1737"/>
        <w:gridCol w:w="1265"/>
        <w:gridCol w:w="1133"/>
        <w:gridCol w:w="1392"/>
      </w:tblGrid>
      <w:tr w:rsidR="00493695" w:rsidRPr="00493695" w:rsidTr="000A696C">
        <w:trPr>
          <w:trHeight w:val="288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a=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xi-xcp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центральное отклонение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t= нормированное отклонение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отн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h*H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фактич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округленная частота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-2,45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0,0198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0,0863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1,49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0,2275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-0,37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0,3726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93695" w:rsidRPr="00493695" w:rsidTr="000A696C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6,56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0,2371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4,11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0,0925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0,0224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93695" w:rsidRPr="00493695" w:rsidTr="000A696C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24,54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Н=17,31;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N=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25;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=18,12;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G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=5,78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drawing>
          <wp:inline distT="0" distB="0" distL="0" distR="0" wp14:anchorId="0DF0F0B2" wp14:editId="6F4E8606">
            <wp:extent cx="4914900" cy="2724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7439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493695" w:rsidRPr="00493695" w:rsidRDefault="00B83999" w:rsidP="00B8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Рисунок 1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 xml:space="preserve"> – Полигон ряда распределения (</w:t>
      </w:r>
      <w:r w:rsidR="00493695"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>=25)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B83999" w:rsidRDefault="00B83999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B83999">
        <w:rPr>
          <w:rFonts w:ascii="Times New Roman" w:hAnsi="Times New Roman" w:cs="Times New Roman"/>
          <w:color w:val="000000" w:themeColor="text1"/>
          <w:sz w:val="28"/>
        </w:rPr>
        <w:t>2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Нормальное распределение устойчивого ряда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27"/>
        <w:gridCol w:w="1466"/>
        <w:gridCol w:w="1378"/>
        <w:gridCol w:w="1674"/>
        <w:gridCol w:w="1095"/>
        <w:gridCol w:w="1095"/>
        <w:gridCol w:w="1343"/>
      </w:tblGrid>
      <w:tr w:rsidR="00493695" w:rsidRPr="00493695" w:rsidTr="000A696C">
        <w:trPr>
          <w:trHeight w:val="28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a=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xi-xcp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центральное отклонение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t= нормированное отклонение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отн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h*H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фактич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округленная частота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0,0707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6,647971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0,1895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17,81882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-0,59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0,3352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31,5191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37,48064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493695" w:rsidRPr="00493695" w:rsidTr="000A696C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29,96759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0,1736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16,32373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5,942741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1,448073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147,15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</w:tbl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Н=94,03;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N=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150;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=15,76;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G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=6,38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07130D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5DB99F56" wp14:editId="3522991C">
            <wp:extent cx="4629150" cy="2219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3999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493695" w:rsidRPr="00493695" w:rsidRDefault="00493695" w:rsidP="00B8399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B83999">
        <w:rPr>
          <w:rFonts w:ascii="Times New Roman" w:hAnsi="Times New Roman" w:cs="Times New Roman"/>
          <w:color w:val="000000" w:themeColor="text1"/>
          <w:sz w:val="28"/>
        </w:rPr>
        <w:t>2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Полигон ряда распределения (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=150)</w:t>
      </w:r>
    </w:p>
    <w:p w:rsid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B83999" w:rsidRPr="00493695" w:rsidRDefault="00B83999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B83999">
        <w:rPr>
          <w:rFonts w:ascii="Times New Roman" w:hAnsi="Times New Roman" w:cs="Times New Roman"/>
          <w:color w:val="000000" w:themeColor="text1"/>
          <w:sz w:val="28"/>
        </w:rPr>
        <w:t>3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Нормальное распределение последнего ряда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1051"/>
        <w:gridCol w:w="1564"/>
        <w:gridCol w:w="1901"/>
        <w:gridCol w:w="1240"/>
        <w:gridCol w:w="1240"/>
        <w:gridCol w:w="1524"/>
      </w:tblGrid>
      <w:tr w:rsidR="00493695" w:rsidRPr="00493695" w:rsidTr="000A696C">
        <w:trPr>
          <w:trHeight w:val="288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a=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xi-xcp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центральное отклонение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t= нормированное отклонение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отн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h*H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фактич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 Ордината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округленная частота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0,0707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11,79728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-1,17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0,2012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33,57302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-0,50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0,3521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58,75278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0,3939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65,72769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493695" w:rsidRPr="00493695" w:rsidTr="000A696C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0,2827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47,17243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0,1295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21,60888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0,0379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6,324142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0,0073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1,218106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246,17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</w:tbl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Н=166,86;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N=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250;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=15,03;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G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=5,99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drawing>
          <wp:inline distT="0" distB="0" distL="0" distR="0" wp14:anchorId="174DF55F" wp14:editId="24CAFC01">
            <wp:extent cx="4476750" cy="2343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999" w:rsidRDefault="00B83999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B83999">
        <w:rPr>
          <w:rFonts w:ascii="Times New Roman" w:hAnsi="Times New Roman" w:cs="Times New Roman"/>
          <w:color w:val="000000" w:themeColor="text1"/>
          <w:sz w:val="28"/>
        </w:rPr>
        <w:t>3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Полигон ряда распределения (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N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=250)</w:t>
      </w:r>
    </w:p>
    <w:p w:rsidR="00493695" w:rsidRPr="00493695" w:rsidRDefault="00493695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ab/>
      </w:r>
      <w:r w:rsidRPr="00493695">
        <w:rPr>
          <w:rFonts w:ascii="Times New Roman" w:hAnsi="Times New Roman" w:cs="Times New Roman"/>
          <w:b/>
          <w:color w:val="000000" w:themeColor="text1"/>
          <w:sz w:val="28"/>
        </w:rPr>
        <w:t>Вывод</w:t>
      </w:r>
      <w:r w:rsidR="00B83999" w:rsidRPr="00B83999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Рассчитаны частоты кривой нормального распределения для первого, устойчивого (№6) и последнего ряда распределения. Все ряды асимметричны и в меньшей степени соответствует нормальному распределению.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b/>
          <w:color w:val="000000" w:themeColor="text1"/>
          <w:sz w:val="28"/>
        </w:rPr>
        <w:tab/>
        <w:t>Распределение частот по критерию Пирсона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  <w:t>По данным, анализируя форму распределения, обычно оценивают степень соответствия исходного эмпирического вариационного ряда теоретическому (модельному) распределению. Критерии, позволяющие дать вероятностную оценку величине расхождений, то есть гипотезу о соответствии выборочного ряда определённому закону распределения, называют критерием согласия.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="00B83999">
        <w:rPr>
          <w:rFonts w:ascii="Times New Roman" w:hAnsi="Times New Roman" w:cs="Times New Roman"/>
          <w:color w:val="000000" w:themeColor="text1"/>
          <w:sz w:val="28"/>
        </w:rPr>
        <w:t>Таблица 4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Сравнение первого ряда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1910"/>
        <w:gridCol w:w="2018"/>
        <w:gridCol w:w="1907"/>
        <w:gridCol w:w="1522"/>
        <w:gridCol w:w="1290"/>
      </w:tblGrid>
      <w:tr w:rsidR="00493695" w:rsidRPr="00493695" w:rsidTr="000A696C">
        <w:trPr>
          <w:trHeight w:val="288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695" w:rsidRPr="00493695" w:rsidTr="000A696C">
        <w:trPr>
          <w:trHeight w:val="288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93695" w:rsidRPr="00493695" w:rsidRDefault="00B83999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3999">
        <w:rPr>
          <w:rFonts w:ascii="Times New Roman" w:hAnsi="Times New Roman" w:cs="Times New Roman"/>
          <w:b/>
          <w:color w:val="000000" w:themeColor="text1"/>
          <w:sz w:val="28"/>
        </w:rPr>
        <w:tab/>
        <w:t>Вывод.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 xml:space="preserve"> Расхождения между эмпирическими и теоретическими (нормальными) частотами имеет существенное расхождение признаков, что не соответствует нормальному распределению, т.к. критическое значение (11,5) больше стандартного (11,1).</w:t>
      </w:r>
    </w:p>
    <w:p w:rsidR="00493695" w:rsidRDefault="00493695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3999" w:rsidRDefault="00B83999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3999" w:rsidRDefault="00B83999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3999" w:rsidRPr="00493695" w:rsidRDefault="00B83999" w:rsidP="00B839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B8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B83999">
        <w:rPr>
          <w:rFonts w:ascii="Times New Roman" w:hAnsi="Times New Roman" w:cs="Times New Roman"/>
          <w:color w:val="000000" w:themeColor="text1"/>
          <w:sz w:val="28"/>
        </w:rPr>
        <w:t>5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Сравнение шестого ряда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1809"/>
        <w:gridCol w:w="1907"/>
        <w:gridCol w:w="1759"/>
        <w:gridCol w:w="1068"/>
        <w:gridCol w:w="1380"/>
      </w:tblGrid>
      <w:tr w:rsidR="00493695" w:rsidRPr="00493695" w:rsidTr="000A696C">
        <w:trPr>
          <w:trHeight w:val="288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B83999" w:rsidP="000A6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3999">
        <w:rPr>
          <w:rFonts w:ascii="Times New Roman" w:hAnsi="Times New Roman" w:cs="Times New Roman"/>
          <w:b/>
          <w:color w:val="000000" w:themeColor="text1"/>
          <w:sz w:val="28"/>
        </w:rPr>
        <w:t>Вывод.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 xml:space="preserve"> Расхождения между эмпирическими и теоретическими (нормальными) частотами имеет существенное расхождение признаков, что не соответствует нормальному распределению, т.к. критическое значение (262) больше стандартного (11,1).</w:t>
      </w:r>
    </w:p>
    <w:p w:rsidR="000A696C" w:rsidRDefault="000A696C" w:rsidP="000A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0A696C">
        <w:rPr>
          <w:rFonts w:ascii="Times New Roman" w:hAnsi="Times New Roman" w:cs="Times New Roman"/>
          <w:color w:val="000000" w:themeColor="text1"/>
          <w:sz w:val="28"/>
        </w:rPr>
        <w:t>6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Сравнение последнего ряда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2164"/>
        <w:gridCol w:w="2286"/>
        <w:gridCol w:w="1281"/>
        <w:gridCol w:w="1281"/>
        <w:gridCol w:w="1279"/>
      </w:tblGrid>
      <w:tr w:rsidR="00493695" w:rsidRPr="00493695" w:rsidTr="000A696C">
        <w:trPr>
          <w:trHeight w:val="288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b/>
          <w:color w:val="000000" w:themeColor="text1"/>
          <w:sz w:val="28"/>
        </w:rPr>
        <w:t>Вывод</w:t>
      </w:r>
      <w:r w:rsidR="000A696C" w:rsidRPr="000A696C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Расхождения между эмпирическими и теоретическими (нормальными) частотами имеет существенное расхождение признаков, что не соответствует нормальному распределению, т.к. критическое значение (441) больше стандартного (11,1).</w:t>
      </w:r>
    </w:p>
    <w:p w:rsidR="000A696C" w:rsidRDefault="000A696C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696C" w:rsidRDefault="000A696C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696C" w:rsidRDefault="000A696C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696C" w:rsidRDefault="000A696C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696C" w:rsidRPr="00493695" w:rsidRDefault="000A696C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Вычисление частот распределения Максвелла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Кривая распределения эмпирических частот вариационного ряда </w:t>
      </w:r>
      <w:proofErr w:type="gramStart"/>
      <w:r w:rsidRPr="00493695">
        <w:rPr>
          <w:rFonts w:ascii="Times New Roman" w:hAnsi="Times New Roman" w:cs="Times New Roman"/>
          <w:color w:val="000000" w:themeColor="text1"/>
          <w:sz w:val="28"/>
        </w:rPr>
        <w:t>существенно положительных</w:t>
      </w:r>
      <w:proofErr w:type="gramEnd"/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чисел, обладающего умеренной асимметрией, может быть аппроксимирована распределением Максвелла. Кривая частот рассматриваемого типа распределения удобна тем, что строится по средствам уравнения, определённого всего одним параметром. Она достаточно гибка и может быть применена для выравнивания асимметричных распределений различных биологических признаков, величины которых изменяются по непрерывному типу.</w:t>
      </w:r>
    </w:p>
    <w:p w:rsidR="00493695" w:rsidRPr="00493695" w:rsidRDefault="00493695" w:rsidP="000A69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0A696C">
        <w:rPr>
          <w:rFonts w:ascii="Times New Roman" w:hAnsi="Times New Roman" w:cs="Times New Roman"/>
          <w:color w:val="000000" w:themeColor="text1"/>
          <w:sz w:val="28"/>
        </w:rPr>
        <w:t>7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Распределение ряда по Максвеллу для шестого (оптимального) ряда </w:t>
      </w:r>
    </w:p>
    <w:p w:rsidR="00493695" w:rsidRPr="00493695" w:rsidRDefault="00493695" w:rsidP="000A69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28"/>
        <w:gridCol w:w="1216"/>
        <w:gridCol w:w="1117"/>
        <w:gridCol w:w="1264"/>
        <w:gridCol w:w="921"/>
        <w:gridCol w:w="952"/>
        <w:gridCol w:w="735"/>
      </w:tblGrid>
      <w:tr w:rsidR="00493695" w:rsidRPr="00493695" w:rsidTr="000A696C">
        <w:trPr>
          <w:trHeight w:val="288"/>
        </w:trPr>
        <w:tc>
          <w:tcPr>
            <w:tcW w:w="966" w:type="pct"/>
            <w:vMerge w:val="restar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</w:p>
        </w:tc>
        <w:tc>
          <w:tcPr>
            <w:tcW w:w="804" w:type="pct"/>
            <w:vMerge w:val="restar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t2=(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/а)2</w:t>
            </w:r>
          </w:p>
        </w:tc>
        <w:tc>
          <w:tcPr>
            <w:tcW w:w="544" w:type="pct"/>
            <w:vMerge w:val="restar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Exp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(-t2/2)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t2*EXP^-t2(f)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f0=f*H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n,=f0*n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0,1642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0,9212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0,1513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0,0489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7,3373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0,6568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0,7201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0,4729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0,1529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22,9420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1,4778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0,4776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0,7059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0,2283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34,2404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2,6272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0,2689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0,7063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0,2284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34,2634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4,1049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0,1284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0,5271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0,1705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25,5715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5,9111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0,0520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0,3077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0,0995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14,9249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8,0457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0,0179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0,1440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0,0466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6,9870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10,5086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0,0052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0,0549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0,0178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2,6635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93695" w:rsidRPr="00493695" w:rsidTr="000A696C">
        <w:trPr>
          <w:trHeight w:val="288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=15,76;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σ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=6,38</w:t>
      </w:r>
    </w:p>
    <w:p w:rsidR="008A7439" w:rsidRPr="00493695" w:rsidRDefault="008A7439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1. Коэффициент вариации (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V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) распределения Максвелла являются величиной постоянной:</w:t>
      </w:r>
    </w:p>
    <w:p w:rsidR="00493695" w:rsidRPr="00493695" w:rsidRDefault="00493695" w:rsidP="000A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V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= </w:t>
      </w: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σ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/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>*100%</w:t>
      </w:r>
    </w:p>
    <w:p w:rsidR="00493695" w:rsidRPr="00493695" w:rsidRDefault="00493695" w:rsidP="000A69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V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 6</w:t>
      </w:r>
      <w:proofErr w:type="gramStart"/>
      <w:r w:rsidRPr="00493695">
        <w:rPr>
          <w:rFonts w:ascii="Times New Roman" w:hAnsi="Times New Roman" w:cs="Times New Roman"/>
          <w:color w:val="000000" w:themeColor="text1"/>
          <w:sz w:val="28"/>
        </w:rPr>
        <w:t>,38</w:t>
      </w:r>
      <w:proofErr w:type="gramEnd"/>
      <w:r w:rsidRPr="00493695">
        <w:rPr>
          <w:rFonts w:ascii="Times New Roman" w:hAnsi="Times New Roman" w:cs="Times New Roman"/>
          <w:color w:val="000000" w:themeColor="text1"/>
          <w:sz w:val="28"/>
        </w:rPr>
        <w:t>/15,76*100%=40,497</w:t>
      </w:r>
    </w:p>
    <w:p w:rsidR="00493695" w:rsidRPr="00493695" w:rsidRDefault="00493695" w:rsidP="000A696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2. Параметр распределения:</w:t>
      </w:r>
    </w:p>
    <w:p w:rsidR="00493695" w:rsidRPr="00493695" w:rsidRDefault="00493695" w:rsidP="000A696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0A696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а=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>/2*</w:t>
      </w:r>
      <m:oMath>
        <m:r>
          <w:rPr>
            <w:rFonts w:ascii="Cambria Math" w:hAnsi="Cambria Math" w:cs="Times New Roman"/>
            <w:color w:val="000000" w:themeColor="text1"/>
            <w:sz w:val="28"/>
          </w:rPr>
          <m:t>√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</w:rPr>
              <m:t>π</m:t>
            </m:r>
          </m:den>
        </m:f>
      </m:oMath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>а=15,76/2*</w:t>
      </w:r>
      <m:oMath>
        <m:r>
          <w:rPr>
            <w:rFonts w:ascii="Cambria Math" w:hAnsi="Cambria Math" w:cs="Times New Roman"/>
            <w:color w:val="000000" w:themeColor="text1"/>
            <w:sz w:val="28"/>
          </w:rPr>
          <m:t>√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</w:rPr>
              <m:t>3,14</m:t>
            </m:r>
          </m:den>
        </m:f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=9,871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 xml:space="preserve">3. Среднее </w:t>
      </w:r>
      <w:proofErr w:type="spell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квадратическое</w:t>
      </w:r>
      <w:proofErr w:type="spell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отклонение распределения Максвелла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σ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=а*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</w:rPr>
          <m:t>-8*π</m:t>
        </m:r>
      </m:oMath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  <w:lang w:val="en-US"/>
        </w:rPr>
        <w:t>σ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=9,871*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</w:rPr>
          <m:t>-8*3,14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=6,638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4. Мода: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М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0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=а*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√2</m:t>
        </m:r>
      </m:oMath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М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0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=9,871*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√2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=13,960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5. Медиана: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proofErr w:type="spell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Ме</w:t>
      </w:r>
      <w:proofErr w:type="spell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=1,538*а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proofErr w:type="spell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Ме</w:t>
      </w:r>
      <w:proofErr w:type="spell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=1,538*9,871=15,182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6. Величина наибольшей ординаты: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Н=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  <w:lang w:val="en-US"/>
        </w:rPr>
        <w:t>d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/а*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*π</m:t>
        </m:r>
      </m:oMath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Н=4/9,871*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*3,14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=0,323</w:t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drawing>
          <wp:inline distT="0" distB="0" distL="0" distR="0" wp14:anchorId="320D680A" wp14:editId="475D194E">
            <wp:extent cx="5029200" cy="29337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439" w:rsidRDefault="008A7439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0A696C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Рисунок 4</w:t>
      </w:r>
      <w:r w:rsidR="00493695"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– Полигон оптимального ряда распределения Максвелла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8A7439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</w:p>
    <w:p w:rsidR="00493695" w:rsidRPr="00493695" w:rsidRDefault="00493695" w:rsidP="000A696C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0A696C">
        <w:rPr>
          <w:rFonts w:ascii="Times New Roman" w:eastAsiaTheme="minorEastAsia" w:hAnsi="Times New Roman" w:cs="Times New Roman"/>
          <w:color w:val="000000" w:themeColor="text1"/>
          <w:sz w:val="28"/>
        </w:rPr>
        <w:t>8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– Сравнение оптимального ряда 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0"/>
        <w:gridCol w:w="1809"/>
        <w:gridCol w:w="1899"/>
        <w:gridCol w:w="1106"/>
        <w:gridCol w:w="1391"/>
        <w:gridCol w:w="1276"/>
      </w:tblGrid>
      <w:tr w:rsidR="00493695" w:rsidRPr="00493695" w:rsidTr="000A696C">
        <w:trPr>
          <w:trHeight w:val="288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</w:tr>
    </w:tbl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B10260" w:rsidP="00B1026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B10260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Вывод.</w:t>
      </w:r>
      <w:r w:rsidR="00493695"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Расхождение между эмпирическими и теоретическими частотами распределения Максвелла имеет существенное расхождение, т.к. критическое значение (267) больше (11,1).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B10260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B10260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Вычисление частот распределения Рэл</w:t>
      </w:r>
      <w:r w:rsidR="0007130D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е</w:t>
      </w:r>
      <w:r w:rsidRPr="00B10260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я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К числу типов распределения, определённых одним параметром, относится распределение Рэл</w:t>
      </w:r>
      <w:r w:rsidR="0007130D">
        <w:rPr>
          <w:rFonts w:ascii="Times New Roman" w:eastAsiaTheme="minorEastAsia" w:hAnsi="Times New Roman" w:cs="Times New Roman"/>
          <w:color w:val="000000" w:themeColor="text1"/>
          <w:sz w:val="28"/>
        </w:rPr>
        <w:t>е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я, которое пригодно для аппроксимации умеренно асимметричных вариационных рядов, составленных из значений принимающих только положительное значение.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 xml:space="preserve">Таблица </w:t>
      </w:r>
      <w:r w:rsidR="00E503E5">
        <w:rPr>
          <w:rFonts w:ascii="Times New Roman" w:eastAsiaTheme="minorEastAsia" w:hAnsi="Times New Roman" w:cs="Times New Roman"/>
          <w:color w:val="000000" w:themeColor="text1"/>
          <w:sz w:val="28"/>
        </w:rPr>
        <w:t>9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– Распределение по Рэл</w:t>
      </w:r>
      <w:r w:rsidR="0007130D">
        <w:rPr>
          <w:rFonts w:ascii="Times New Roman" w:eastAsiaTheme="minorEastAsia" w:hAnsi="Times New Roman" w:cs="Times New Roman"/>
          <w:color w:val="000000" w:themeColor="text1"/>
          <w:sz w:val="28"/>
        </w:rPr>
        <w:t>е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ю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5"/>
        <w:gridCol w:w="1833"/>
        <w:gridCol w:w="1490"/>
        <w:gridCol w:w="1851"/>
        <w:gridCol w:w="944"/>
        <w:gridCol w:w="1072"/>
        <w:gridCol w:w="726"/>
      </w:tblGrid>
      <w:tr w:rsidR="00493695" w:rsidRPr="00493695" w:rsidTr="000A696C">
        <w:trPr>
          <w:trHeight w:val="28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Число стволов,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/a2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/a2*e-(X2/2*а</w:t>
            </w:r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f0=f*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n,=f*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di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*n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0,096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14,437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0,051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24,806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0,076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0,193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28,889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0,101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27,025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0,036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21,419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0,025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0,098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14,728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0,177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8,898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0,008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4,759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93695" w:rsidRPr="00493695" w:rsidTr="000A696C">
        <w:trPr>
          <w:trHeight w:val="28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0,966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144,961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</w:tbl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proofErr w:type="spell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=15,76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1. Основной параметр определяется по формуле: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lastRenderedPageBreak/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а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=2*Хср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/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π</m:t>
        </m:r>
      </m:oMath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а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=2*(15,76)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/3,14=158,03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 xml:space="preserve">2. Мода: 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М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0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√а</m:t>
        </m:r>
      </m:oMath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М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0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158,03=12,57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>3. Дисперсия: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=а</w:t>
      </w:r>
      <w:proofErr w:type="gram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proofErr w:type="gram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*(2-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π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/2)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=158,03*(2-3,14/2)=67,79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  <w:t xml:space="preserve">4. Среднее </w:t>
      </w:r>
      <w:proofErr w:type="spellStart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квадратическое</w:t>
      </w:r>
      <w:proofErr w:type="spellEnd"/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отклонение: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√σ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  <w:vertAlign w:val="superscript"/>
        </w:rPr>
        <w:t>2</w:t>
      </w: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√</m:t>
        </m:r>
      </m:oMath>
      <w:r w:rsidRPr="00493695">
        <w:rPr>
          <w:rFonts w:ascii="Times New Roman" w:eastAsiaTheme="minorEastAsia" w:hAnsi="Times New Roman" w:cs="Times New Roman"/>
          <w:color w:val="000000" w:themeColor="text1"/>
          <w:sz w:val="28"/>
        </w:rPr>
        <w:t>67,79=8,23</w:t>
      </w:r>
    </w:p>
    <w:p w:rsidR="00E503E5" w:rsidRPr="00493695" w:rsidRDefault="00E503E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drawing>
          <wp:inline distT="0" distB="0" distL="0" distR="0" wp14:anchorId="385CF23F" wp14:editId="60C623F1">
            <wp:extent cx="5095875" cy="3114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E503E5">
        <w:rPr>
          <w:rFonts w:ascii="Times New Roman" w:hAnsi="Times New Roman" w:cs="Times New Roman"/>
          <w:color w:val="000000" w:themeColor="text1"/>
          <w:sz w:val="28"/>
        </w:rPr>
        <w:t>5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Полигон опти</w:t>
      </w:r>
      <w:r w:rsidR="0007130D">
        <w:rPr>
          <w:rFonts w:ascii="Times New Roman" w:hAnsi="Times New Roman" w:cs="Times New Roman"/>
          <w:color w:val="000000" w:themeColor="text1"/>
          <w:sz w:val="28"/>
        </w:rPr>
        <w:t>мального ряда распределения Рэле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я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503E5" w:rsidRDefault="00E503E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503E5" w:rsidRDefault="00E503E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E503E5">
        <w:rPr>
          <w:rFonts w:ascii="Times New Roman" w:hAnsi="Times New Roman" w:cs="Times New Roman"/>
          <w:color w:val="000000" w:themeColor="text1"/>
          <w:sz w:val="28"/>
        </w:rPr>
        <w:t>10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Сравнение оптимального ряда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2164"/>
        <w:gridCol w:w="2286"/>
        <w:gridCol w:w="1281"/>
        <w:gridCol w:w="1281"/>
        <w:gridCol w:w="1279"/>
      </w:tblGrid>
      <w:tr w:rsidR="00493695" w:rsidRPr="00493695" w:rsidTr="000A696C">
        <w:trPr>
          <w:trHeight w:val="288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84,5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84,5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493695" w:rsidRPr="00493695" w:rsidTr="000A696C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E503E5" w:rsidP="00E50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03E5">
        <w:rPr>
          <w:rFonts w:ascii="Times New Roman" w:hAnsi="Times New Roman" w:cs="Times New Roman"/>
          <w:b/>
          <w:color w:val="000000" w:themeColor="text1"/>
          <w:sz w:val="28"/>
        </w:rPr>
        <w:t>Вывод.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>Поскольку критическое значение (417) больше стандартного (11,1), то различия эмпирического и теоретического рядов существенные, то есть эмпирическое распределение не соответствует распределению Рэл</w:t>
      </w:r>
      <w:r w:rsidR="0007130D">
        <w:rPr>
          <w:rFonts w:ascii="Times New Roman" w:hAnsi="Times New Roman" w:cs="Times New Roman"/>
          <w:color w:val="000000" w:themeColor="text1"/>
          <w:sz w:val="28"/>
        </w:rPr>
        <w:t>е</w:t>
      </w:r>
      <w:r w:rsidR="00493695" w:rsidRPr="00493695">
        <w:rPr>
          <w:rFonts w:ascii="Times New Roman" w:hAnsi="Times New Roman" w:cs="Times New Roman"/>
          <w:color w:val="000000" w:themeColor="text1"/>
          <w:sz w:val="28"/>
        </w:rPr>
        <w:t>ю.</w:t>
      </w:r>
      <w:proofErr w:type="gramEnd"/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E503E5" w:rsidRDefault="0049369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503E5">
        <w:rPr>
          <w:rFonts w:ascii="Times New Roman" w:hAnsi="Times New Roman" w:cs="Times New Roman"/>
          <w:b/>
          <w:color w:val="000000" w:themeColor="text1"/>
          <w:sz w:val="28"/>
        </w:rPr>
        <w:t>Вычисление частот по показа</w:t>
      </w:r>
      <w:r w:rsidR="0007130D">
        <w:rPr>
          <w:rFonts w:ascii="Times New Roman" w:hAnsi="Times New Roman" w:cs="Times New Roman"/>
          <w:b/>
          <w:color w:val="000000" w:themeColor="text1"/>
          <w:sz w:val="28"/>
        </w:rPr>
        <w:t>тель</w:t>
      </w:r>
      <w:r w:rsidRPr="00E503E5">
        <w:rPr>
          <w:rFonts w:ascii="Times New Roman" w:hAnsi="Times New Roman" w:cs="Times New Roman"/>
          <w:b/>
          <w:color w:val="000000" w:themeColor="text1"/>
          <w:sz w:val="28"/>
        </w:rPr>
        <w:t>ному распределению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По данному типу распределения выравнивают эмпирический ряд, частот которого представлены с резко выраженной правосторонней асимметрией, а средняя арифметическая величина соответствует по своему значению стандартному отклонению.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503E5">
        <w:rPr>
          <w:rFonts w:ascii="Times New Roman" w:hAnsi="Times New Roman" w:cs="Times New Roman"/>
          <w:color w:val="000000" w:themeColor="text1"/>
          <w:sz w:val="28"/>
        </w:rPr>
        <w:t>11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– Теоретические частоты показательного распределения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0"/>
        <w:gridCol w:w="744"/>
        <w:gridCol w:w="733"/>
        <w:gridCol w:w="2027"/>
        <w:gridCol w:w="829"/>
        <w:gridCol w:w="952"/>
        <w:gridCol w:w="829"/>
        <w:gridCol w:w="1052"/>
        <w:gridCol w:w="635"/>
      </w:tblGrid>
      <w:tr w:rsidR="00493695" w:rsidRPr="00493695" w:rsidTr="000A696C">
        <w:trPr>
          <w:trHeight w:val="28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Граница классов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Нижняя граница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а*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е^-a*XB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Окр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0-2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0,1333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0,8752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0,1248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17,9682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2,1-6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0,3871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0,6790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0,1962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28,2568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6,1-10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0,6410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0,5268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0,1522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21,9215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10,1-14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0,8949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0,4087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0,1181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17,0066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14,1-18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1,1487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0,3170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0,0916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13,1937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18,1-22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1,4026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0,2460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0,0711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10,2356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22,1-26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1,6565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0,0551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7,9407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26,1-30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1,9103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0,0428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6,1604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30,1-34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2,1642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0,1148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0,0332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4,7792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93695" w:rsidRPr="00493695" w:rsidTr="000A696C">
        <w:trPr>
          <w:trHeight w:val="28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0,8852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127,4628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</w:tbl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>=15,76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>а=1/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  <w:t>а=1/15,76=0,064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Дисперсия: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=1/а</w:t>
      </w:r>
      <w:proofErr w:type="gramStart"/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  <w:t>2</w:t>
      </w:r>
      <w:proofErr w:type="gramEnd"/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=1/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0,064</w:t>
      </w:r>
      <w:r w:rsidRPr="00493695">
        <w:rPr>
          <w:rFonts w:ascii="Times New Roman" w:hAnsi="Times New Roman" w:cs="Times New Roman"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=244,14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>Медиана: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Ме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>=0,693*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Хср</w:t>
      </w:r>
      <w:proofErr w:type="spellEnd"/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</w:rPr>
        <w:t>Ме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</w:rPr>
        <w:t>=0,693*15,76=10,92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  <w:t>3. Стандартное отклонение: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=1/а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vertAlign w:val="superscript"/>
        </w:rPr>
        <w:t>2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=1/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>0,064=15,625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  <w:t>4. Коэффициент вариации: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lang w:val="en-US"/>
        </w:rPr>
        <w:t>V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</w:rPr>
          <m:t>σ</m:t>
        </m:r>
      </m:oMath>
      <w:r w:rsidRPr="00493695">
        <w:rPr>
          <w:rFonts w:ascii="Times New Roman" w:hAnsi="Times New Roman" w:cs="Times New Roman"/>
          <w:color w:val="000000" w:themeColor="text1"/>
          <w:sz w:val="28"/>
        </w:rPr>
        <w:t>/Хср*100%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  <w:lang w:val="en-US"/>
        </w:rPr>
        <w:t>V</w:t>
      </w:r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=6,381/15</w:t>
      </w:r>
      <w:proofErr w:type="gramStart"/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,76</w:t>
      </w:r>
      <w:proofErr w:type="gramEnd"/>
      <w:r w:rsidRPr="00493695">
        <w:rPr>
          <w:rFonts w:ascii="Times New Roman" w:eastAsiaTheme="minorEastAsia" w:hAnsi="Times New Roman" w:cs="Times New Roman"/>
          <w:iCs/>
          <w:color w:val="000000" w:themeColor="text1"/>
          <w:sz w:val="28"/>
        </w:rPr>
        <w:t>*100%=0,41%</w:t>
      </w:r>
    </w:p>
    <w:p w:rsidR="00493695" w:rsidRPr="00493695" w:rsidRDefault="00493695" w:rsidP="0049369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/>
          <w:noProof/>
          <w:lang w:eastAsia="ru-RU"/>
        </w:rPr>
        <w:drawing>
          <wp:inline distT="0" distB="0" distL="0" distR="0" wp14:anchorId="20E49604" wp14:editId="7C5BE00E">
            <wp:extent cx="4953000" cy="2962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8A74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  <w:t xml:space="preserve">Рисунок </w:t>
      </w:r>
      <w:r w:rsidR="00E503E5">
        <w:rPr>
          <w:rFonts w:ascii="Times New Roman" w:hAnsi="Times New Roman" w:cs="Times New Roman"/>
          <w:color w:val="000000" w:themeColor="text1"/>
          <w:sz w:val="28"/>
        </w:rPr>
        <w:t>6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Полигон оптимального ряда показательного распределения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lastRenderedPageBreak/>
        <w:tab/>
        <w:t xml:space="preserve">Таблица </w:t>
      </w:r>
      <w:r w:rsidR="00E503E5">
        <w:rPr>
          <w:rFonts w:ascii="Times New Roman" w:hAnsi="Times New Roman" w:cs="Times New Roman"/>
          <w:color w:val="000000" w:themeColor="text1"/>
          <w:sz w:val="28"/>
        </w:rPr>
        <w:t>12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– Сравнение ряда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5"/>
        <w:gridCol w:w="1809"/>
        <w:gridCol w:w="1899"/>
        <w:gridCol w:w="1403"/>
        <w:gridCol w:w="1258"/>
        <w:gridCol w:w="1277"/>
      </w:tblGrid>
      <w:tr w:rsidR="00493695" w:rsidRPr="00493695" w:rsidTr="00E503E5">
        <w:trPr>
          <w:trHeight w:val="28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, см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Частота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)2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ni-n,I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)2/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эмперическая</w:t>
            </w:r>
            <w:proofErr w:type="spellEnd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теоретическая, </w:t>
            </w:r>
            <w:proofErr w:type="spellStart"/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n,i</w:t>
            </w:r>
            <w:proofErr w:type="spellEnd"/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264,5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93695" w:rsidRPr="00493695" w:rsidTr="00E503E5">
        <w:trPr>
          <w:trHeight w:val="288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∑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95" w:rsidRPr="00493695" w:rsidRDefault="00493695" w:rsidP="00493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695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</w:tr>
    </w:tbl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E503E5">
        <w:rPr>
          <w:rFonts w:ascii="Times New Roman" w:hAnsi="Times New Roman" w:cs="Times New Roman"/>
          <w:b/>
          <w:color w:val="000000" w:themeColor="text1"/>
          <w:sz w:val="28"/>
        </w:rPr>
        <w:t>Вывод</w:t>
      </w:r>
      <w:r w:rsidR="00E503E5" w:rsidRPr="00E503E5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493695">
        <w:rPr>
          <w:rFonts w:ascii="Times New Roman" w:hAnsi="Times New Roman" w:cs="Times New Roman"/>
          <w:color w:val="000000" w:themeColor="text1"/>
          <w:sz w:val="28"/>
        </w:rPr>
        <w:t xml:space="preserve"> Расхождение между эмпирическими и теоретическими рядами существенное, то есть эмпирическое распределение не соответствует показательному распределению, критическое значение (1377) больше стандартного (11,1).</w:t>
      </w: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4936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493695" w:rsidRPr="00493695" w:rsidRDefault="00493695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</w:rPr>
        <w:tab/>
      </w:r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</w:t>
      </w:r>
    </w:p>
    <w:p w:rsidR="00493695" w:rsidRPr="00493695" w:rsidRDefault="00493695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695" w:rsidRPr="00493695" w:rsidRDefault="00493695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Никитин К. Е.,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Швиденко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З. Методы и техника обработки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лесоводственной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[Текст] / К. Е. Никитин, А. З. </w:t>
      </w:r>
      <w:proofErr w:type="spellStart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Швиденко</w:t>
      </w:r>
      <w:proofErr w:type="spellEnd"/>
      <w:r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. – М.: Лесная промышленность, 1978, - 270 с.</w:t>
      </w:r>
    </w:p>
    <w:p w:rsidR="00493695" w:rsidRPr="00493695" w:rsidRDefault="00BD6040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Свалов</w:t>
      </w:r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Н. «Лесная промышленность» / Н. Н. Свалов / Учебное пособие для в</w:t>
      </w:r>
      <w:r w:rsidR="00E503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зов. М., 1997. – 176 с.</w:t>
      </w:r>
    </w:p>
    <w:p w:rsidR="00493695" w:rsidRPr="00493695" w:rsidRDefault="00BD6040" w:rsidP="00E503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Фарбер </w:t>
      </w:r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К. Методологические основы моделирования древостоев: Учебное пособие [Текст] / С. К. Фарбер, В. А. Соколов. – Красноярск: </w:t>
      </w:r>
      <w:proofErr w:type="spellStart"/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КрасГУ</w:t>
      </w:r>
      <w:proofErr w:type="spellEnd"/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Институт леса им. Сукачева, </w:t>
      </w:r>
      <w:proofErr w:type="spellStart"/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СтбГТУ</w:t>
      </w:r>
      <w:proofErr w:type="spellEnd"/>
      <w:r w:rsidR="00493695" w:rsidRPr="00493695">
        <w:rPr>
          <w:rFonts w:ascii="Times New Roman" w:hAnsi="Times New Roman" w:cs="Times New Roman"/>
          <w:color w:val="000000" w:themeColor="text1"/>
          <w:sz w:val="28"/>
          <w:szCs w:val="28"/>
        </w:rPr>
        <w:t>, 2005. – 72 с.</w:t>
      </w:r>
    </w:p>
    <w:p w:rsidR="002317DA" w:rsidRPr="008A7439" w:rsidRDefault="002317DA" w:rsidP="008A7439">
      <w:pPr>
        <w:jc w:val="both"/>
        <w:rPr>
          <w:sz w:val="28"/>
          <w:szCs w:val="28"/>
        </w:rPr>
      </w:pPr>
      <w:bookmarkStart w:id="0" w:name="_GoBack"/>
      <w:bookmarkEnd w:id="0"/>
    </w:p>
    <w:sectPr w:rsidR="002317DA" w:rsidRPr="008A7439" w:rsidSect="000A696C">
      <w:pgSz w:w="11906" w:h="16838"/>
      <w:pgMar w:top="1134" w:right="850" w:bottom="1276" w:left="1701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1D"/>
    <w:multiLevelType w:val="hybridMultilevel"/>
    <w:tmpl w:val="3502094E"/>
    <w:lvl w:ilvl="0" w:tplc="271A6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11627"/>
    <w:multiLevelType w:val="hybridMultilevel"/>
    <w:tmpl w:val="D8D88C74"/>
    <w:lvl w:ilvl="0" w:tplc="C3F06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95"/>
    <w:rsid w:val="0007130D"/>
    <w:rsid w:val="000A696C"/>
    <w:rsid w:val="002317DA"/>
    <w:rsid w:val="00493695"/>
    <w:rsid w:val="00676C61"/>
    <w:rsid w:val="008A7439"/>
    <w:rsid w:val="00B10260"/>
    <w:rsid w:val="00B83999"/>
    <w:rsid w:val="00BD6040"/>
    <w:rsid w:val="00E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695"/>
  </w:style>
  <w:style w:type="paragraph" w:styleId="a3">
    <w:name w:val="header"/>
    <w:basedOn w:val="a"/>
    <w:link w:val="a4"/>
    <w:uiPriority w:val="99"/>
    <w:unhideWhenUsed/>
    <w:rsid w:val="004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9369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4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9369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6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9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3695"/>
    <w:pPr>
      <w:ind w:left="720"/>
      <w:contextualSpacing/>
    </w:pPr>
    <w:rPr>
      <w:rFonts w:ascii="Times New Roman" w:hAnsi="Times New Roman"/>
    </w:rPr>
  </w:style>
  <w:style w:type="character" w:styleId="ab">
    <w:name w:val="Placeholder Text"/>
    <w:basedOn w:val="a0"/>
    <w:uiPriority w:val="99"/>
    <w:semiHidden/>
    <w:rsid w:val="00493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695"/>
  </w:style>
  <w:style w:type="paragraph" w:styleId="a3">
    <w:name w:val="header"/>
    <w:basedOn w:val="a"/>
    <w:link w:val="a4"/>
    <w:uiPriority w:val="99"/>
    <w:unhideWhenUsed/>
    <w:rsid w:val="004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9369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4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9369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6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9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3695"/>
    <w:pPr>
      <w:ind w:left="720"/>
      <w:contextualSpacing/>
    </w:pPr>
    <w:rPr>
      <w:rFonts w:ascii="Times New Roman" w:hAnsi="Times New Roman"/>
    </w:rPr>
  </w:style>
  <w:style w:type="character" w:styleId="ab">
    <w:name w:val="Placeholder Text"/>
    <w:basedOn w:val="a0"/>
    <w:uiPriority w:val="99"/>
    <w:semiHidden/>
    <w:rsid w:val="00493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Лист1!$AY$129:$AY$136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Лист1!$AZ$129:$AZ$136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386624"/>
        <c:axId val="219389312"/>
      </c:scatterChart>
      <c:scatterChart>
        <c:scatterStyle val="lineMarker"/>
        <c:varyColors val="0"/>
        <c:ser>
          <c:idx val="1"/>
          <c:order val="1"/>
          <c:xVal>
            <c:numRef>
              <c:f>Лист1!$AY$129:$AY$136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Лист1!$BE$129:$BE$136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386624"/>
        <c:axId val="219389312"/>
      </c:scatterChart>
      <c:valAx>
        <c:axId val="2193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389312"/>
        <c:crosses val="autoZero"/>
        <c:crossBetween val="midCat"/>
      </c:valAx>
      <c:valAx>
        <c:axId val="21938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93866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Лист1!$BI$129:$BI$136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Лист1!$BJ$129:$BJ$136</c:f>
              <c:numCache>
                <c:formatCode>General</c:formatCode>
                <c:ptCount val="8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22</c:v>
                </c:pt>
                <c:pt idx="4">
                  <c:v>35</c:v>
                </c:pt>
                <c:pt idx="5">
                  <c:v>24</c:v>
                </c:pt>
                <c:pt idx="6">
                  <c:v>8</c:v>
                </c:pt>
                <c:pt idx="7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01792"/>
        <c:axId val="156003328"/>
      </c:scatterChart>
      <c:scatterChart>
        <c:scatterStyle val="lineMarker"/>
        <c:varyColors val="0"/>
        <c:ser>
          <c:idx val="1"/>
          <c:order val="1"/>
          <c:xVal>
            <c:numRef>
              <c:f>Лист1!$BI$129:$BI$136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Лист1!$BO$129:$BO$136</c:f>
              <c:numCache>
                <c:formatCode>General</c:formatCode>
                <c:ptCount val="8"/>
                <c:pt idx="0">
                  <c:v>7</c:v>
                </c:pt>
                <c:pt idx="1">
                  <c:v>18</c:v>
                </c:pt>
                <c:pt idx="2">
                  <c:v>32</c:v>
                </c:pt>
                <c:pt idx="3">
                  <c:v>38</c:v>
                </c:pt>
                <c:pt idx="4">
                  <c:v>30</c:v>
                </c:pt>
                <c:pt idx="5">
                  <c:v>17</c:v>
                </c:pt>
                <c:pt idx="6">
                  <c:v>6</c:v>
                </c:pt>
                <c:pt idx="7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01792"/>
        <c:axId val="156003328"/>
      </c:scatterChart>
      <c:valAx>
        <c:axId val="15600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003328"/>
        <c:crosses val="autoZero"/>
        <c:crossBetween val="midCat"/>
      </c:valAx>
      <c:valAx>
        <c:axId val="15600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600179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Лист1!$BS$129:$BS$136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Лист1!$BT$129:$BT$136</c:f>
              <c:numCache>
                <c:formatCode>General</c:formatCode>
                <c:ptCount val="8"/>
                <c:pt idx="0">
                  <c:v>0</c:v>
                </c:pt>
                <c:pt idx="1">
                  <c:v>29</c:v>
                </c:pt>
                <c:pt idx="2">
                  <c:v>67</c:v>
                </c:pt>
                <c:pt idx="3">
                  <c:v>46</c:v>
                </c:pt>
                <c:pt idx="4">
                  <c:v>58</c:v>
                </c:pt>
                <c:pt idx="5">
                  <c:v>31</c:v>
                </c:pt>
                <c:pt idx="6">
                  <c:v>15</c:v>
                </c:pt>
                <c:pt idx="7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12544"/>
        <c:axId val="156014080"/>
      </c:scatterChart>
      <c:scatterChart>
        <c:scatterStyle val="lineMarker"/>
        <c:varyColors val="0"/>
        <c:ser>
          <c:idx val="1"/>
          <c:order val="1"/>
          <c:xVal>
            <c:numRef>
              <c:f>Лист1!$BS$129:$BS$136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Лист1!$BY$129:$BY$136</c:f>
              <c:numCache>
                <c:formatCode>General</c:formatCode>
                <c:ptCount val="8"/>
                <c:pt idx="0">
                  <c:v>12</c:v>
                </c:pt>
                <c:pt idx="1">
                  <c:v>34</c:v>
                </c:pt>
                <c:pt idx="2">
                  <c:v>59</c:v>
                </c:pt>
                <c:pt idx="3">
                  <c:v>66</c:v>
                </c:pt>
                <c:pt idx="4">
                  <c:v>48</c:v>
                </c:pt>
                <c:pt idx="5">
                  <c:v>22</c:v>
                </c:pt>
                <c:pt idx="6">
                  <c:v>7</c:v>
                </c:pt>
                <c:pt idx="7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12544"/>
        <c:axId val="156014080"/>
      </c:scatterChart>
      <c:valAx>
        <c:axId val="15601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014080"/>
        <c:crosses val="autoZero"/>
        <c:crossBetween val="midCat"/>
      </c:valAx>
      <c:valAx>
        <c:axId val="156014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60125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1"/>
          <c:order val="1"/>
          <c:xVal>
            <c:numRef>
              <c:f>Лист1!$BA$189:$BA$196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Лист1!$BH$189:$BH$196</c:f>
              <c:numCache>
                <c:formatCode>General</c:formatCode>
                <c:ptCount val="8"/>
                <c:pt idx="0">
                  <c:v>8</c:v>
                </c:pt>
                <c:pt idx="1">
                  <c:v>23</c:v>
                </c:pt>
                <c:pt idx="2">
                  <c:v>34</c:v>
                </c:pt>
                <c:pt idx="3">
                  <c:v>34</c:v>
                </c:pt>
                <c:pt idx="4">
                  <c:v>26</c:v>
                </c:pt>
                <c:pt idx="5">
                  <c:v>15</c:v>
                </c:pt>
                <c:pt idx="6">
                  <c:v>7</c:v>
                </c:pt>
                <c:pt idx="7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27136"/>
        <c:axId val="156029312"/>
      </c:scatterChar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Лист1!$BA$189:$BA$196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Лист1!$BB$189:$BB$196</c:f>
              <c:numCache>
                <c:formatCode>General</c:formatCode>
                <c:ptCount val="8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22</c:v>
                </c:pt>
                <c:pt idx="4">
                  <c:v>35</c:v>
                </c:pt>
                <c:pt idx="5">
                  <c:v>24</c:v>
                </c:pt>
                <c:pt idx="6">
                  <c:v>8</c:v>
                </c:pt>
                <c:pt idx="7">
                  <c:v>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27136"/>
        <c:axId val="156029312"/>
      </c:scatterChart>
      <c:valAx>
        <c:axId val="156027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Ступень толщины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029312"/>
        <c:crosses val="autoZero"/>
        <c:crossBetween val="midCat"/>
      </c:valAx>
      <c:valAx>
        <c:axId val="1560293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стволов,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0271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Лист1!$BB$234:$BB$241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Лист1!$BC$234:$BC$241</c:f>
              <c:numCache>
                <c:formatCode>General</c:formatCode>
                <c:ptCount val="8"/>
                <c:pt idx="0">
                  <c:v>0</c:v>
                </c:pt>
                <c:pt idx="1">
                  <c:v>14</c:v>
                </c:pt>
                <c:pt idx="2">
                  <c:v>43</c:v>
                </c:pt>
                <c:pt idx="3">
                  <c:v>22</c:v>
                </c:pt>
                <c:pt idx="4">
                  <c:v>35</c:v>
                </c:pt>
                <c:pt idx="5">
                  <c:v>24</c:v>
                </c:pt>
                <c:pt idx="6">
                  <c:v>8</c:v>
                </c:pt>
                <c:pt idx="7">
                  <c:v>4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Лист1!$BB$234:$BB$241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</c:numCache>
            </c:numRef>
          </c:xVal>
          <c:yVal>
            <c:numRef>
              <c:f>Лист1!$BH$234:$BH$241</c:f>
              <c:numCache>
                <c:formatCode>General</c:formatCode>
                <c:ptCount val="8"/>
                <c:pt idx="0">
                  <c:v>16</c:v>
                </c:pt>
                <c:pt idx="1">
                  <c:v>25</c:v>
                </c:pt>
                <c:pt idx="2">
                  <c:v>30</c:v>
                </c:pt>
                <c:pt idx="3">
                  <c:v>28</c:v>
                </c:pt>
                <c:pt idx="4">
                  <c:v>22</c:v>
                </c:pt>
                <c:pt idx="5">
                  <c:v>15</c:v>
                </c:pt>
                <c:pt idx="6">
                  <c:v>9</c:v>
                </c:pt>
                <c:pt idx="7">
                  <c:v>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42368"/>
        <c:axId val="156044288"/>
      </c:scatterChart>
      <c:valAx>
        <c:axId val="156042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Ступени толщины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044288"/>
        <c:crosses val="autoZero"/>
        <c:crossBetween val="midCat"/>
      </c:valAx>
      <c:valAx>
        <c:axId val="1560442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стволов,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0423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Лист1!$BB$270:$BB$278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</c:numCache>
            </c:numRef>
          </c:xVal>
          <c:yVal>
            <c:numRef>
              <c:f>Лист1!$BC$270:$BC$278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43</c:v>
                </c:pt>
                <c:pt idx="4">
                  <c:v>22</c:v>
                </c:pt>
                <c:pt idx="5">
                  <c:v>35</c:v>
                </c:pt>
                <c:pt idx="6">
                  <c:v>24</c:v>
                </c:pt>
                <c:pt idx="7">
                  <c:v>8</c:v>
                </c:pt>
                <c:pt idx="8">
                  <c:v>4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Лист1!$BB$270:$BB$278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</c:numCache>
            </c:numRef>
          </c:xVal>
          <c:yVal>
            <c:numRef>
              <c:f>Лист1!$BI$270:$BI$278</c:f>
              <c:numCache>
                <c:formatCode>0</c:formatCode>
                <c:ptCount val="9"/>
                <c:pt idx="0">
                  <c:v>20</c:v>
                </c:pt>
                <c:pt idx="1">
                  <c:v>30</c:v>
                </c:pt>
                <c:pt idx="2">
                  <c:v>24</c:v>
                </c:pt>
                <c:pt idx="3">
                  <c:v>19</c:v>
                </c:pt>
                <c:pt idx="4">
                  <c:v>15</c:v>
                </c:pt>
                <c:pt idx="5">
                  <c:v>12</c:v>
                </c:pt>
                <c:pt idx="6">
                  <c:v>10</c:v>
                </c:pt>
                <c:pt idx="7">
                  <c:v>8</c:v>
                </c:pt>
                <c:pt idx="8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056960"/>
        <c:axId val="145761792"/>
      </c:scatterChart>
      <c:valAx>
        <c:axId val="156056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Ступени толщины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761792"/>
        <c:crosses val="autoZero"/>
        <c:crossBetween val="midCat"/>
      </c:valAx>
      <c:valAx>
        <c:axId val="145761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стволов, шт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05696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dcterms:created xsi:type="dcterms:W3CDTF">2020-04-08T12:24:00Z</dcterms:created>
  <dcterms:modified xsi:type="dcterms:W3CDTF">2020-04-08T13:10:00Z</dcterms:modified>
</cp:coreProperties>
</file>